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3119" w:hanging="0"/>
        <w:rPr>
          <w:rFonts w:ascii="Tahoma" w:hAnsi="Tahoma"/>
          <w:b/>
          <w:b/>
          <w:spacing w:val="128"/>
          <w:sz w:val="22"/>
          <w:szCs w:val="22"/>
          <w:lang w:val="sr-CS"/>
        </w:rPr>
      </w:pPr>
      <w:r>
        <w:rPr>
          <w:rFonts w:ascii="Tahoma" w:hAnsi="Tahoma"/>
          <w:b/>
          <w:spacing w:val="128"/>
          <w:sz w:val="22"/>
          <w:szCs w:val="22"/>
          <w:lang w:val="sr-CS"/>
        </w:rPr>
        <w:drawing>
          <wp:anchor behindDoc="0" distT="0" distB="0" distL="114300" distR="118110" simplePos="0" locked="0" layoutInCell="1" allowOverlap="1" relativeHeight="3">
            <wp:simplePos x="0" y="0"/>
            <wp:positionH relativeFrom="column">
              <wp:posOffset>24765</wp:posOffset>
            </wp:positionH>
            <wp:positionV relativeFrom="paragraph">
              <wp:posOffset>52070</wp:posOffset>
            </wp:positionV>
            <wp:extent cx="872490" cy="572770"/>
            <wp:effectExtent l="0" t="0" r="0" b="0"/>
            <wp:wrapSquare wrapText="bothSides"/>
            <wp:docPr id="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ind w:left="3119" w:hanging="0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pacing w:val="128"/>
          <w:sz w:val="22"/>
          <w:szCs w:val="22"/>
          <w:lang w:val="sr-Latn-RS"/>
        </w:rPr>
        <w:t xml:space="preserve">     </w:t>
      </w:r>
      <w:r>
        <w:rPr>
          <w:rFonts w:ascii="Tahoma" w:hAnsi="Tahoma"/>
          <w:b/>
          <w:spacing w:val="128"/>
          <w:sz w:val="22"/>
          <w:szCs w:val="22"/>
          <w:lang w:val="hu-HU"/>
        </w:rPr>
        <w:t>Szerbköztársoság</w:t>
      </w:r>
      <w:r>
        <w:rPr>
          <w:rFonts w:ascii="Tahoma" w:hAnsi="Tahoma"/>
          <w:b/>
          <w:spacing w:val="128"/>
          <w:sz w:val="22"/>
          <w:szCs w:val="22"/>
          <w:lang w:val="sr-CS"/>
        </w:rPr>
        <w:t xml:space="preserve">   </w:t>
      </w:r>
    </w:p>
    <w:p>
      <w:pPr>
        <w:pStyle w:val="NoSpacing"/>
        <w:ind w:left="3119" w:hanging="0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pacing w:val="128"/>
          <w:sz w:val="22"/>
          <w:szCs w:val="22"/>
          <w:lang w:val="hu-HU"/>
        </w:rPr>
        <w:t>Vajdaság Autónom Tartomány</w:t>
      </w:r>
    </w:p>
    <w:p>
      <w:pPr>
        <w:pStyle w:val="NoSpacing"/>
        <w:ind w:left="3119" w:hanging="0"/>
        <w:rPr>
          <w:rFonts w:ascii="Tahoma" w:hAnsi="Tahoma"/>
          <w:b/>
          <w:b/>
          <w:spacing w:val="128"/>
          <w:sz w:val="22"/>
          <w:szCs w:val="22"/>
          <w:lang w:val="sr-CS"/>
        </w:rPr>
      </w:pPr>
      <w:r>
        <w:rPr>
          <w:rFonts w:ascii="Tahoma" w:hAnsi="Tahoma"/>
          <w:b/>
          <w:spacing w:val="128"/>
          <w:sz w:val="22"/>
          <w:szCs w:val="22"/>
          <w:lang w:val="sr-CS"/>
        </w:rPr>
      </w:r>
    </w:p>
    <w:p>
      <w:pPr>
        <w:pStyle w:val="NoSpacing"/>
        <w:ind w:left="3119" w:hanging="2410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pacing w:val="128"/>
          <w:sz w:val="22"/>
          <w:szCs w:val="22"/>
          <w:lang w:val="hu-HU"/>
        </w:rPr>
        <w:t xml:space="preserve">Tartományi Településrendezési és Környezetvédelmi Titkárság </w:t>
      </w:r>
    </w:p>
    <w:p>
      <w:pPr>
        <w:pStyle w:val="NoSpacing"/>
        <w:jc w:val="center"/>
        <w:rPr>
          <w:rFonts w:ascii="Tahoma" w:hAnsi="Tahoma"/>
          <w:sz w:val="22"/>
          <w:szCs w:val="22"/>
          <w:lang w:val="sr-CS"/>
        </w:rPr>
      </w:pPr>
      <w:r>
        <w:rPr>
          <w:rFonts w:ascii="Tahoma" w:hAnsi="Tahoma"/>
          <w:sz w:val="22"/>
          <w:szCs w:val="22"/>
          <w:lang w:val="sr-CS"/>
        </w:rPr>
      </w:r>
    </w:p>
    <w:p>
      <w:pPr>
        <w:pStyle w:val="NoSpacing"/>
        <w:jc w:val="both"/>
        <w:rPr>
          <w:rFonts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  <w:lang w:val="sr-CS"/>
        </w:rPr>
        <w:t xml:space="preserve">A tervezésről és építésről szóló törvény (Szerb Köztársaság Hivatalos Közlönye, 72/09., 81/09-helyreigazítás, 64/10. – az AB határozata, 24/11., 121/12., 42/13., 50/13., 98/13., 132/14, </w:t>
      </w:r>
      <w:r>
        <w:rPr>
          <w:rFonts w:cs="Tahoma" w:ascii="Tahoma" w:hAnsi="Tahoma"/>
          <w:sz w:val="22"/>
          <w:szCs w:val="22"/>
          <w:lang w:val="hu-HU"/>
        </w:rPr>
        <w:t>1</w:t>
      </w:r>
      <w:r>
        <w:rPr>
          <w:rFonts w:cs="Tahoma" w:ascii="Tahoma" w:hAnsi="Tahoma"/>
          <w:sz w:val="22"/>
          <w:szCs w:val="22"/>
          <w:lang w:val="sr-CS"/>
        </w:rPr>
        <w:t xml:space="preserve">45/14, 83/18, 31/19, 37/19 – </w:t>
      </w:r>
      <w:r>
        <w:rPr>
          <w:rFonts w:cs="Tahoma" w:ascii="Tahoma" w:hAnsi="Tahoma"/>
          <w:sz w:val="22"/>
          <w:szCs w:val="22"/>
          <w:lang w:val="hu-HU"/>
        </w:rPr>
        <w:t xml:space="preserve">más törvények 9/20 és 52/21 </w:t>
      </w:r>
      <w:r>
        <w:rPr>
          <w:rFonts w:cs="Tahoma" w:ascii="Tahoma" w:hAnsi="Tahoma"/>
          <w:sz w:val="22"/>
          <w:szCs w:val="22"/>
          <w:lang w:val="sr-CS"/>
        </w:rPr>
        <w:t xml:space="preserve">számok) </w:t>
      </w:r>
      <w:r>
        <w:rPr>
          <w:rFonts w:cs="Tahoma" w:ascii="Tahoma" w:hAnsi="Tahoma"/>
          <w:sz w:val="22"/>
          <w:szCs w:val="22"/>
          <w:lang w:val="sr-Latn-RS"/>
        </w:rPr>
        <w:t>50.</w:t>
      </w:r>
      <w:r>
        <w:rPr>
          <w:rFonts w:cs="Tahoma" w:ascii="Tahoma" w:hAnsi="Tahoma"/>
          <w:sz w:val="22"/>
          <w:szCs w:val="22"/>
          <w:lang w:val="sr-CS"/>
        </w:rPr>
        <w:t xml:space="preserve"> szakaszával, </w:t>
      </w:r>
      <w:r>
        <w:rPr>
          <w:rFonts w:cs="Tahoma" w:ascii="Tahoma" w:hAnsi="Tahoma"/>
          <w:sz w:val="22"/>
          <w:szCs w:val="22"/>
          <w:lang w:val="hu-HU"/>
        </w:rPr>
        <w:t xml:space="preserve">és </w:t>
      </w:r>
      <w:bookmarkStart w:id="0" w:name="page13R_mcid1"/>
      <w:bookmarkEnd w:id="0"/>
      <w:r>
        <w:rPr>
          <w:rFonts w:cs="Tahoma" w:ascii="Tahoma" w:hAnsi="Tahoma"/>
          <w:sz w:val="22"/>
          <w:szCs w:val="22"/>
          <w:lang w:val="hu-HU"/>
        </w:rPr>
        <w:t>a stratégiai</w:t>
        <w:br/>
        <w:t>környezetvédelmi hatástanulmányról szóló törvény (az SZK Hivatalos Közlönye, 135/04. és</w:t>
        <w:br/>
        <w:t xml:space="preserve">88/10. sz.) 5., 6.  szakaszáival </w:t>
      </w:r>
      <w:r>
        <w:rPr>
          <w:rFonts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hu-HU"/>
        </w:rPr>
        <w:t>összhangban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pacing w:val="100"/>
          <w:sz w:val="22"/>
          <w:szCs w:val="22"/>
          <w:lang w:val="hu-HU"/>
        </w:rPr>
        <w:t>meghirdeti</w:t>
      </w:r>
    </w:p>
    <w:p>
      <w:pPr>
        <w:pStyle w:val="Normal"/>
        <w:jc w:val="center"/>
        <w:rPr>
          <w:rFonts w:ascii="Tahoma" w:hAnsi="Tahoma"/>
          <w:b/>
          <w:b/>
          <w:spacing w:val="100"/>
          <w:sz w:val="22"/>
          <w:szCs w:val="22"/>
        </w:rPr>
      </w:pPr>
      <w:r>
        <w:rPr>
          <w:rFonts w:ascii="Tahoma" w:hAnsi="Tahoma"/>
          <w:b/>
          <w:spacing w:val="100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ahoma" w:hAnsi="Tahoma"/>
          <w:b/>
          <w:spacing w:val="100"/>
          <w:sz w:val="22"/>
          <w:szCs w:val="22"/>
          <w:lang w:val="hu-HU"/>
        </w:rPr>
        <w:t xml:space="preserve">VAJDASÁG AUTÓNOM TARTOMÁNY 2021-től 2035-IG TARTÓ IDŐSZAKÁRA VONATKOZÓ  REGIONÁLIS TERÜLETRENDEZÉSI TERV </w:t>
      </w:r>
      <w:r>
        <w:rPr>
          <w:rFonts w:ascii="Tahoma" w:hAnsi="Tahoma"/>
          <w:b/>
          <w:spacing w:val="100"/>
          <w:sz w:val="22"/>
          <w:szCs w:val="22"/>
          <w:lang w:val="hu-HU"/>
        </w:rPr>
        <w:t>TERVEZETÉNEK</w:t>
      </w:r>
      <w:r>
        <w:rPr>
          <w:rFonts w:ascii="Tahoma" w:hAnsi="Tahoma"/>
          <w:b/>
          <w:spacing w:val="100"/>
          <w:sz w:val="22"/>
          <w:szCs w:val="22"/>
          <w:lang w:val="hu-HU"/>
        </w:rPr>
        <w:t xml:space="preserve"> ÉS A VAJDASÁG AUTÓNOM TARTOMÁNY REGIONALIS TERÜLETRENDEZÉSI TERV STRATÉGIAI KÖRNYEZETI HATÁSVIZSGÁLATÁRÓL SZÓLÓ JELENTÉS</w:t>
      </w:r>
    </w:p>
    <w:p>
      <w:pPr>
        <w:pStyle w:val="Normal"/>
        <w:jc w:val="center"/>
        <w:rPr>
          <w:b/>
          <w:b/>
          <w:spacing w:val="100"/>
          <w:lang w:val="hu-HU"/>
        </w:rPr>
      </w:pPr>
      <w:r>
        <w:rPr>
          <w:b/>
          <w:spacing w:val="100"/>
          <w:lang w:val="hu-HU"/>
        </w:rPr>
      </w:r>
    </w:p>
    <w:p>
      <w:pPr>
        <w:pStyle w:val="Normal"/>
        <w:spacing w:before="170" w:after="0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pacing w:val="100"/>
          <w:sz w:val="22"/>
          <w:szCs w:val="22"/>
          <w:lang w:val="hu-HU"/>
        </w:rPr>
        <w:t>KÖZSZEMLÉJÉT</w:t>
      </w:r>
    </w:p>
    <w:p>
      <w:pPr>
        <w:pStyle w:val="Normal"/>
        <w:jc w:val="center"/>
        <w:rPr>
          <w:rFonts w:ascii="Tahoma" w:hAnsi="Tahoma"/>
          <w:sz w:val="22"/>
          <w:szCs w:val="22"/>
          <w:lang w:val="sr-CS"/>
        </w:rPr>
      </w:pPr>
      <w:r>
        <w:rPr>
          <w:rFonts w:ascii="Tahoma" w:hAnsi="Tahoma"/>
          <w:sz w:val="22"/>
          <w:szCs w:val="22"/>
          <w:lang w:val="sr-CS"/>
        </w:rPr>
      </w:r>
    </w:p>
    <w:p>
      <w:pPr>
        <w:pStyle w:val="Normal"/>
        <w:jc w:val="both"/>
        <w:rPr/>
      </w:pPr>
      <w:bookmarkStart w:id="1" w:name="__DdeLink__692_949504839"/>
      <w:r>
        <w:rPr>
          <w:rFonts w:ascii="Tahoma" w:hAnsi="Tahoma"/>
          <w:sz w:val="22"/>
          <w:szCs w:val="22"/>
          <w:lang w:val="hu-HU"/>
        </w:rPr>
        <w:t xml:space="preserve">A </w:t>
      </w:r>
      <w:r>
        <w:rPr>
          <w:rFonts w:ascii="Tahoma" w:hAnsi="Tahoma"/>
          <w:sz w:val="22"/>
          <w:szCs w:val="22"/>
          <w:lang w:val="sr-CS"/>
        </w:rPr>
        <w:t xml:space="preserve">Vajdaság Autonóm Tartomány 2021-től 2035-ig tartó időszakra vonatkozó regionális területrendezési terv </w:t>
      </w:r>
      <w:r>
        <w:rPr>
          <w:rFonts w:ascii="Tahoma" w:hAnsi="Tahoma"/>
          <w:sz w:val="22"/>
          <w:szCs w:val="22"/>
          <w:lang w:val="hu-HU"/>
        </w:rPr>
        <w:t xml:space="preserve">( a továbbiakban: Regionális területrendezési terv </w:t>
      </w:r>
      <w:r>
        <w:rPr>
          <w:rFonts w:ascii="Tahoma" w:hAnsi="Tahoma"/>
          <w:sz w:val="22"/>
          <w:szCs w:val="22"/>
          <w:lang w:val="hu-HU"/>
        </w:rPr>
        <w:t>tervezete</w:t>
      </w:r>
      <w:r>
        <w:rPr>
          <w:rFonts w:ascii="Tahoma" w:hAnsi="Tahoma"/>
          <w:sz w:val="22"/>
          <w:szCs w:val="22"/>
          <w:lang w:val="hu-HU"/>
        </w:rPr>
        <w:t>) és a Vajdaság Autónom tartomány regionális területrendezési terv stratégiai környezeti hatásvizsgálatról szóló jelentés</w:t>
      </w:r>
      <w:bookmarkEnd w:id="1"/>
      <w:r>
        <w:rPr>
          <w:rFonts w:ascii="Tahoma" w:hAnsi="Tahoma"/>
          <w:sz w:val="22"/>
          <w:szCs w:val="22"/>
          <w:lang w:val="hu-HU"/>
        </w:rPr>
        <w:t xml:space="preserve"> ( továbbiakban: hatásvizsgálatról szóló jelentés) felöleli az összes helyi önkormányzatot  Vajdaság Autónom tartomány területén.</w:t>
      </w:r>
    </w:p>
    <w:p>
      <w:pPr>
        <w:pStyle w:val="Normal"/>
        <w:jc w:val="both"/>
        <w:rPr/>
      </w:pPr>
      <w:r>
        <w:rPr>
          <w:rFonts w:ascii="Tahoma" w:hAnsi="Tahoma"/>
          <w:sz w:val="22"/>
          <w:szCs w:val="22"/>
          <w:lang w:val="hu-HU"/>
        </w:rPr>
        <w:t xml:space="preserve">1. A Regionális területrendezési terv </w:t>
      </w:r>
      <w:r>
        <w:rPr>
          <w:rFonts w:ascii="Tahoma" w:hAnsi="Tahoma"/>
          <w:sz w:val="22"/>
          <w:szCs w:val="22"/>
          <w:lang w:val="hu-HU"/>
        </w:rPr>
        <w:t>tervezetének</w:t>
      </w:r>
      <w:r>
        <w:rPr>
          <w:rFonts w:ascii="Tahoma" w:hAnsi="Tahoma"/>
          <w:sz w:val="22"/>
          <w:szCs w:val="22"/>
          <w:lang w:val="hu-HU"/>
        </w:rPr>
        <w:t xml:space="preserve"> és a  hatásvizsgálatról szóló jelentés nyilvános közszemléje 30 napig tart,  2022.03.21 -től 2022.04.19-ig.</w:t>
      </w:r>
    </w:p>
    <w:p>
      <w:pPr>
        <w:pStyle w:val="Normal"/>
        <w:jc w:val="both"/>
        <w:rPr/>
      </w:pPr>
      <w:r>
        <w:rPr>
          <w:rFonts w:ascii="Tahoma" w:hAnsi="Tahoma"/>
          <w:sz w:val="22"/>
          <w:szCs w:val="22"/>
          <w:lang w:val="hu-HU"/>
        </w:rPr>
        <w:t xml:space="preserve">A Regionális területrendezési terv </w:t>
      </w:r>
      <w:r>
        <w:rPr>
          <w:rFonts w:ascii="Tahoma" w:hAnsi="Tahoma"/>
          <w:sz w:val="22"/>
          <w:szCs w:val="22"/>
          <w:lang w:val="hu-HU"/>
        </w:rPr>
        <w:t>tervezete</w:t>
      </w:r>
      <w:r>
        <w:rPr>
          <w:rFonts w:ascii="Tahoma" w:hAnsi="Tahoma"/>
          <w:sz w:val="22"/>
          <w:szCs w:val="22"/>
          <w:lang w:val="hu-HU"/>
        </w:rPr>
        <w:t xml:space="preserve"> a térképekkel és a  hatásvizsgálatról szóló jelentés köszemlére  bocsájtása,  </w:t>
      </w:r>
      <w:r>
        <w:rPr>
          <w:rFonts w:ascii="Tahoma" w:hAnsi="Tahoma"/>
          <w:sz w:val="22"/>
          <w:szCs w:val="22"/>
          <w:lang w:val="sr-CS"/>
        </w:rPr>
        <w:t xml:space="preserve">Vajdaság Autonóm Tartomány </w:t>
      </w:r>
      <w:r>
        <w:rPr>
          <w:rFonts w:ascii="Tahoma" w:hAnsi="Tahoma"/>
          <w:sz w:val="22"/>
          <w:szCs w:val="22"/>
          <w:lang w:val="hu-HU"/>
        </w:rPr>
        <w:t>helyi önkormányzatainak székhelyén és a Tartományi településrendezési és környezetvédelmi titkárság helyiségeiben, Bulevar Mihajla Pupina 16 sz alatt Újvidéken, történik.</w:t>
      </w:r>
    </w:p>
    <w:p>
      <w:pPr>
        <w:pStyle w:val="Normal"/>
        <w:jc w:val="both"/>
        <w:rPr>
          <w:rFonts w:ascii="Tahoma" w:hAnsi="Tahoma"/>
          <w:sz w:val="22"/>
          <w:szCs w:val="22"/>
          <w:lang w:val="hu-HU"/>
        </w:rPr>
      </w:pPr>
      <w:r>
        <w:rPr>
          <w:rFonts w:ascii="Tahoma" w:hAnsi="Tahoma"/>
          <w:sz w:val="22"/>
          <w:szCs w:val="22"/>
          <w:lang w:val="hu-HU"/>
        </w:rPr>
      </w:r>
    </w:p>
    <w:p>
      <w:pPr>
        <w:pStyle w:val="Normal"/>
        <w:jc w:val="both"/>
        <w:rPr/>
      </w:pPr>
      <w:r>
        <w:rPr>
          <w:rFonts w:ascii="Tahoma" w:hAnsi="Tahoma"/>
          <w:sz w:val="22"/>
          <w:szCs w:val="22"/>
          <w:lang w:val="hu-HU"/>
        </w:rPr>
        <w:t xml:space="preserve">Az érdekelt nyilvanosság számára a Regionális területrendezési terv </w:t>
      </w:r>
      <w:r>
        <w:rPr>
          <w:rFonts w:ascii="Tahoma" w:hAnsi="Tahoma"/>
          <w:sz w:val="22"/>
          <w:szCs w:val="22"/>
          <w:lang w:val="hu-HU"/>
        </w:rPr>
        <w:t>tervezete</w:t>
      </w:r>
      <w:r>
        <w:rPr>
          <w:rFonts w:ascii="Tahoma" w:hAnsi="Tahoma"/>
          <w:sz w:val="22"/>
          <w:szCs w:val="22"/>
          <w:lang w:val="hu-HU"/>
        </w:rPr>
        <w:t xml:space="preserve"> és a  hatásvizsgálatról szóló jelentés digitális formában is elérhető lesz a Tartományi településrendezési és környezetvédelmi titkárság hivatalos honlapján ( http://.ekourbapv.vojvodina.gov.rs).</w:t>
      </w:r>
    </w:p>
    <w:p>
      <w:pPr>
        <w:pStyle w:val="Normal"/>
        <w:jc w:val="both"/>
        <w:rPr/>
      </w:pPr>
      <w:r>
        <w:rPr>
          <w:rFonts w:ascii="Tahoma" w:hAnsi="Tahoma"/>
          <w:sz w:val="22"/>
          <w:szCs w:val="22"/>
          <w:lang w:val="hu-HU"/>
        </w:rPr>
        <w:t xml:space="preserve">Fizikai és jogi személyek megjegyzéseiket a Regionális területrendezési terv </w:t>
      </w:r>
      <w:r>
        <w:rPr>
          <w:rFonts w:ascii="Tahoma" w:hAnsi="Tahoma"/>
          <w:sz w:val="22"/>
          <w:szCs w:val="22"/>
          <w:lang w:val="hu-HU"/>
        </w:rPr>
        <w:t>tervezetére</w:t>
      </w:r>
      <w:r>
        <w:rPr>
          <w:rFonts w:ascii="Tahoma" w:hAnsi="Tahoma"/>
          <w:sz w:val="22"/>
          <w:szCs w:val="22"/>
          <w:lang w:val="hu-HU"/>
        </w:rPr>
        <w:t xml:space="preserve"> és a  hatásvizsgálatról szóló jelentésre a közszemle ideje alatt, kizárólag irásban küldhetik el a helyi önkormányzatok urbanista osztályaira és a Tartományi településrendezési és környezetvédelmi titkárság címére Bulevar Mihajla Pupina 16 sz. Újvidék.</w:t>
      </w:r>
    </w:p>
    <w:p>
      <w:pPr>
        <w:pStyle w:val="Normal"/>
        <w:jc w:val="both"/>
        <w:rPr>
          <w:rFonts w:ascii="Tahoma" w:hAnsi="Tahoma"/>
          <w:sz w:val="22"/>
          <w:szCs w:val="22"/>
          <w:lang w:val="hu-HU"/>
        </w:rPr>
      </w:pPr>
      <w:r>
        <w:rPr>
          <w:rFonts w:ascii="Tahoma" w:hAnsi="Tahoma"/>
          <w:sz w:val="22"/>
          <w:szCs w:val="22"/>
          <w:lang w:val="hu-HU"/>
        </w:rPr>
      </w:r>
    </w:p>
    <w:p>
      <w:pPr>
        <w:pStyle w:val="Normal"/>
        <w:jc w:val="both"/>
        <w:rPr/>
      </w:pPr>
      <w:r>
        <w:rPr>
          <w:rFonts w:ascii="Tahoma" w:hAnsi="Tahoma"/>
          <w:sz w:val="22"/>
          <w:szCs w:val="22"/>
          <w:lang w:val="sr-CS"/>
        </w:rPr>
        <w:t xml:space="preserve">Vajdaság Autonóm Tartomány 2021-től 2035-ig tartó időszakra vonatkozó regionális területrendezési terv </w:t>
      </w:r>
      <w:r>
        <w:rPr>
          <w:rFonts w:ascii="Tahoma" w:hAnsi="Tahoma"/>
          <w:sz w:val="22"/>
          <w:szCs w:val="22"/>
          <w:lang w:val="hu-HU"/>
        </w:rPr>
        <w:t xml:space="preserve">tervezetének </w:t>
      </w:r>
      <w:r>
        <w:rPr>
          <w:rFonts w:ascii="Tahoma" w:hAnsi="Tahoma"/>
          <w:sz w:val="22"/>
          <w:szCs w:val="22"/>
          <w:lang w:val="hu-HU"/>
        </w:rPr>
        <w:t>nyilvános bemutatása a következő sorrendben kerül kerül megtartásra:</w:t>
      </w:r>
    </w:p>
    <w:p>
      <w:pPr>
        <w:pStyle w:val="Normal"/>
        <w:jc w:val="both"/>
        <w:rPr>
          <w:lang w:val="hu-HU"/>
        </w:rPr>
      </w:pP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>Szerémségi közigazgatási</w:t>
      </w:r>
      <w:r>
        <w:rPr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 xml:space="preserve"> körzet – Sremska Mitrovica székhely -1. terem Sremska Mitrovica Városi közigazgatás épületében 2022.03.22-én, 11 órától, Svetog Dimitrija 13 sz., Sremska Mitrovica</w:t>
      </w:r>
    </w:p>
    <w:p>
      <w:pPr>
        <w:pStyle w:val="Normal"/>
        <w:jc w:val="both"/>
        <w:rPr>
          <w:lang w:val="hu-HU"/>
        </w:rPr>
      </w:pP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>Közép</w:t>
      </w:r>
      <w:r>
        <w:rPr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>-</w:t>
      </w: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>bánáti közigazgatási körzet – Zrenjanin székhely – Multimédia terem 101. sz. Zrenjanin város Városháza épületében 2022.03.24-én, 11 órától, Trg slobode 10 sz. Zrenjanin</w:t>
      </w:r>
    </w:p>
    <w:p>
      <w:pPr>
        <w:pStyle w:val="Normal"/>
        <w:jc w:val="both"/>
        <w:rPr>
          <w:lang w:val="hu-HU"/>
        </w:rPr>
      </w:pP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 xml:space="preserve">Észak-bácskai közigazgatási körzet – Szabadka székhely- Észak-bácskai közigazgatási körzet amfitreatrum helyiségében 2022.03.29-én, 11 órától, Trg </w:t>
      </w: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sr-Latn-RS"/>
        </w:rPr>
        <w:t>Lazara</w:t>
      </w: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 xml:space="preserve"> </w:t>
      </w: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sr-Latn-RS"/>
        </w:rPr>
        <w:t>Nešića</w:t>
      </w: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 xml:space="preserve"> br. 1, Szabadka</w:t>
      </w:r>
    </w:p>
    <w:p>
      <w:pPr>
        <w:pStyle w:val="Normal"/>
        <w:jc w:val="both"/>
        <w:rPr>
          <w:lang w:val="hu-HU"/>
        </w:rPr>
      </w:pP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>Nyugat-bácskai  közigazgatási körzet- Zombor székhely- Városháza dísztermében 2022.03.31-én, 11 órától, Trg cara uro</w:t>
      </w: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sr-Latn-RS"/>
        </w:rPr>
        <w:t xml:space="preserve">ša </w:t>
      </w: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>1sz. Zombor</w:t>
      </w:r>
    </w:p>
    <w:p>
      <w:pPr>
        <w:pStyle w:val="Normal"/>
        <w:jc w:val="both"/>
        <w:rPr>
          <w:lang w:val="hu-HU"/>
        </w:rPr>
      </w:pP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 xml:space="preserve">Dél–bánsági közigazgatási körzet – Újvidék székhely -  </w:t>
      </w: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sr-CS"/>
        </w:rPr>
        <w:t xml:space="preserve">Vajdaság Autonóm Tartomány </w:t>
      </w: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>közgyülés termében , 2022.04.05 -én 11 órától, Velike Platona 1 sz. Újvidék</w:t>
      </w:r>
    </w:p>
    <w:p>
      <w:pPr>
        <w:pStyle w:val="Normal"/>
        <w:jc w:val="both"/>
        <w:rPr>
          <w:lang w:val="hu-HU"/>
        </w:rPr>
      </w:pP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>Dél-bánat  közigazgatási körzet – Páncsova székhely – Városi közigazgatás épületében ( kisterem) 2022.04.07-én, 11 órától, Trg kralj Petar I 2-4 sz. Páncsova</w:t>
      </w:r>
    </w:p>
    <w:p>
      <w:pPr>
        <w:pStyle w:val="Normal"/>
        <w:jc w:val="both"/>
        <w:rPr>
          <w:lang w:val="hu-HU"/>
        </w:rPr>
      </w:pP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>Észak–bánati közigazgatási körzet – Kikinda székhely-Városi közigazgatási épület dísztermében 2022.04.11-én, 11 órától, Trg sprpskih dobrovoljaca 12 sz. Kikinda</w:t>
      </w:r>
    </w:p>
    <w:p>
      <w:pPr>
        <w:pStyle w:val="Normal"/>
        <w:jc w:val="both"/>
        <w:rPr>
          <w:rStyle w:val="Emphasis"/>
          <w:rFonts w:ascii="Tahoma" w:hAnsi="Tahoma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Tahoma" w:hAnsi="Tahoma"/>
          <w:b/>
          <w:bCs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lang w:val="hu-HU"/>
        </w:rPr>
      </w:pPr>
      <w:r>
        <w:rPr>
          <w:rStyle w:val="Emphasis"/>
          <w:rFonts w:ascii="Tahoma" w:hAnsi="Tahoma"/>
          <w:b w:val="false"/>
          <w:bCs w:val="false"/>
          <w:i w:val="false"/>
          <w:iCs w:val="false"/>
          <w:sz w:val="22"/>
          <w:szCs w:val="22"/>
          <w:lang w:val="hu-HU"/>
        </w:rPr>
        <w:t xml:space="preserve">Közszemlét lefolytató bizottság nyilvános ülésére 2022.05.11-én kerül sor Újvidéken a </w:t>
      </w:r>
      <w:r>
        <w:rPr>
          <w:rStyle w:val="Emphasis"/>
          <w:rFonts w:ascii="Tahoma" w:hAnsi="Tahoma"/>
          <w:b w:val="false"/>
          <w:bCs w:val="false"/>
          <w:i w:val="false"/>
          <w:iCs w:val="false"/>
          <w:sz w:val="22"/>
          <w:szCs w:val="22"/>
          <w:lang w:val="sr-CS"/>
        </w:rPr>
        <w:t xml:space="preserve">Vajdaság Autonóm Tartomány </w:t>
      </w:r>
      <w:r>
        <w:rPr>
          <w:rStyle w:val="Emphasis"/>
          <w:rFonts w:ascii="Tahoma" w:hAnsi="Tahoma"/>
          <w:b w:val="false"/>
          <w:bCs w:val="false"/>
          <w:i w:val="false"/>
          <w:iCs w:val="false"/>
          <w:sz w:val="22"/>
          <w:szCs w:val="22"/>
          <w:lang w:val="hu-HU"/>
        </w:rPr>
        <w:t>képviselőházának nagytermében kerül sor 15 órai kezdettel, Vladike Platona sz.n.</w:t>
      </w:r>
    </w:p>
    <w:p>
      <w:pPr>
        <w:pStyle w:val="Normal"/>
        <w:jc w:val="both"/>
        <w:rPr>
          <w:rStyle w:val="Emphasis"/>
          <w:rFonts w:ascii="Tahoma" w:hAnsi="Tahoma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Tahoma" w:hAnsi="Tahoma"/>
          <w:b/>
          <w:bCs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lang w:val="hu-HU"/>
        </w:rPr>
      </w:pPr>
      <w:r>
        <w:rPr>
          <w:rStyle w:val="Emphasis"/>
          <w:rFonts w:ascii="Tahoma" w:hAnsi="Tahoma"/>
          <w:b/>
          <w:bCs/>
          <w:i w:val="false"/>
          <w:iCs w:val="false"/>
          <w:sz w:val="22"/>
          <w:szCs w:val="22"/>
          <w:lang w:val="hu-HU"/>
        </w:rPr>
        <w:t>2. A</w:t>
      </w:r>
      <w:r>
        <w:rPr>
          <w:rStyle w:val="Emphasis"/>
          <w:rFonts w:cs="Tahoma" w:ascii="Tahoma" w:hAnsi="Tahoma"/>
          <w:b/>
          <w:bCs/>
          <w:i w:val="false"/>
          <w:iCs w:val="false"/>
          <w:sz w:val="22"/>
          <w:szCs w:val="22"/>
          <w:lang w:val="sr-CS"/>
        </w:rPr>
        <w:t xml:space="preserve"> tervezésről és építésről szóló törvény </w:t>
      </w:r>
      <w:r>
        <w:rPr>
          <w:rStyle w:val="Emphasis"/>
          <w:rFonts w:cs="Tahoma" w:ascii="Tahoma" w:hAnsi="Tahoma"/>
          <w:b/>
          <w:bCs/>
          <w:i w:val="false"/>
          <w:iCs w:val="false"/>
          <w:sz w:val="22"/>
          <w:szCs w:val="22"/>
          <w:lang w:val="sr-Latn-RS"/>
        </w:rPr>
        <w:t>50.</w:t>
      </w:r>
      <w:r>
        <w:rPr>
          <w:rStyle w:val="Emphasis"/>
          <w:rFonts w:cs="Tahoma" w:ascii="Tahoma" w:hAnsi="Tahoma"/>
          <w:b/>
          <w:bCs/>
          <w:i w:val="false"/>
          <w:iCs w:val="false"/>
          <w:sz w:val="22"/>
          <w:szCs w:val="22"/>
          <w:lang w:val="sr-CS"/>
        </w:rPr>
        <w:t xml:space="preserve"> szakaszával </w:t>
      </w:r>
      <w:r>
        <w:rPr>
          <w:rStyle w:val="Emphasis"/>
          <w:rFonts w:cs="Tahoma" w:ascii="Tahoma" w:hAnsi="Tahoma"/>
          <w:b/>
          <w:bCs/>
          <w:i w:val="false"/>
          <w:iCs w:val="false"/>
          <w:sz w:val="22"/>
          <w:szCs w:val="22"/>
          <w:lang w:val="hu-HU"/>
        </w:rPr>
        <w:t>összhangban, a bizottság elkészíti a közszemléről szóló jelentést, melyet továbbít a terv hordozójának - Tartományi településrendezési és környezetvédelmi titkárságnak.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rFonts w:cs="Tahoma"/>
          <w:b/>
          <w:b/>
          <w:lang w:val="sr-CS"/>
        </w:rPr>
      </w:pPr>
      <w:r>
        <w:rPr>
          <w:rFonts w:cs="Tahoma"/>
          <w:b/>
          <w:lang w:val="sr-CS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907" w:right="907" w:header="0" w:top="1609" w:footer="1620" w:bottom="1677" w:gutter="0"/>
      <w:pgBorders w:display="allPages" w:offsetFrom="text">
        <w:top w:val="single" w:sz="18" w:space="9" w:color="00000A"/>
        <w:left w:val="single" w:sz="18" w:space="2" w:color="00000A"/>
        <w:bottom w:val="single" w:sz="18" w:space="9" w:color="00000A"/>
        <w:right w:val="single" w:sz="18" w:space="2" w:color="00000A"/>
      </w:pgBorders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YU C Times">
    <w:charset w:val="00"/>
    <w:family w:val="roman"/>
    <w:pitch w:val="variable"/>
  </w:font>
  <w:font w:name="YU C Swis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7462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503.25pt;margin-top:0.05pt;width:1.25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44f7"/>
    <w:pPr>
      <w:widowControl/>
      <w:bidi w:val="0"/>
      <w:spacing w:lineRule="auto" w:line="240" w:before="0" w:after="0"/>
      <w:jc w:val="left"/>
    </w:pPr>
    <w:rPr>
      <w:rFonts w:ascii="YU C Times" w:hAnsi="YU C Times" w:eastAsia="Times New Roman" w:cs="Times New Roman"/>
      <w:color w:val="00000A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9944f7"/>
    <w:pPr>
      <w:keepNext/>
      <w:spacing w:before="0" w:after="360"/>
      <w:jc w:val="center"/>
      <w:outlineLvl w:val="0"/>
    </w:pPr>
    <w:rPr>
      <w:rFonts w:ascii="YU C Swiss" w:hAnsi="YU C Swis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9944f7"/>
    <w:rPr>
      <w:rFonts w:ascii="YU C Swiss" w:hAnsi="YU C Swiss" w:eastAsia="Times New Roman" w:cs="Times New Roman"/>
      <w:b/>
      <w:szCs w:val="20"/>
    </w:rPr>
  </w:style>
  <w:style w:type="character" w:styleId="TitleChar" w:customStyle="1">
    <w:name w:val="Title Char"/>
    <w:basedOn w:val="DefaultParagraphFont"/>
    <w:link w:val="Title"/>
    <w:qFormat/>
    <w:rsid w:val="009944f7"/>
    <w:rPr>
      <w:rFonts w:ascii="YU C Swiss" w:hAnsi="YU C Swiss" w:eastAsia="Times New Roman" w:cs="Times New Roman"/>
      <w:b/>
      <w:sz w:val="26"/>
      <w:szCs w:val="20"/>
    </w:rPr>
  </w:style>
  <w:style w:type="character" w:styleId="BodyTextChar" w:customStyle="1">
    <w:name w:val="Body Text Char"/>
    <w:basedOn w:val="DefaultParagraphFont"/>
    <w:link w:val="BodyText"/>
    <w:semiHidden/>
    <w:qFormat/>
    <w:rsid w:val="009944f7"/>
    <w:rPr>
      <w:rFonts w:ascii="YU C Swiss" w:hAnsi="YU C Swiss" w:eastAsia="Times New Roman" w:cs="Times New Roman"/>
      <w:sz w:val="24"/>
      <w:szCs w:val="20"/>
    </w:rPr>
  </w:style>
  <w:style w:type="character" w:styleId="FooterChar" w:customStyle="1">
    <w:name w:val="Footer Char"/>
    <w:basedOn w:val="DefaultParagraphFont"/>
    <w:link w:val="Footer"/>
    <w:semiHidden/>
    <w:qFormat/>
    <w:rsid w:val="009944f7"/>
    <w:rPr>
      <w:rFonts w:ascii="YU C Times" w:hAnsi="YU C Times" w:eastAsia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qFormat/>
    <w:rsid w:val="009944f7"/>
    <w:rPr/>
  </w:style>
  <w:style w:type="character" w:styleId="InternetLink">
    <w:name w:val="Internet Link"/>
    <w:semiHidden/>
    <w:rsid w:val="009944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8338d"/>
    <w:rPr>
      <w:color w:val="954F72" w:themeColor="followed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e3655"/>
    <w:rPr>
      <w:rFonts w:ascii="Segoe UI" w:hAnsi="Segoe UI" w:eastAsia="Times New Roman" w:cs="Segoe UI"/>
      <w:sz w:val="18"/>
      <w:szCs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link w:val="BodyTextChar"/>
    <w:semiHidden/>
    <w:rsid w:val="009944f7"/>
    <w:pPr>
      <w:spacing w:before="0" w:after="120"/>
      <w:jc w:val="both"/>
    </w:pPr>
    <w:rPr>
      <w:rFonts w:ascii="YU C Swiss" w:hAnsi="YU C Swiss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qFormat/>
    <w:rsid w:val="009944f7"/>
    <w:pPr>
      <w:jc w:val="center"/>
    </w:pPr>
    <w:rPr>
      <w:rFonts w:ascii="YU C Swiss" w:hAnsi="YU C Swiss"/>
      <w:b/>
      <w:sz w:val="26"/>
    </w:rPr>
  </w:style>
  <w:style w:type="paragraph" w:styleId="Footer">
    <w:name w:val="Footer"/>
    <w:basedOn w:val="Normal"/>
    <w:link w:val="FooterChar"/>
    <w:semiHidden/>
    <w:rsid w:val="009944f7"/>
    <w:pPr>
      <w:tabs>
        <w:tab w:val="center" w:pos="4320" w:leader="none"/>
        <w:tab w:val="right" w:pos="8640" w:leader="none"/>
      </w:tabs>
    </w:pPr>
    <w:rPr/>
  </w:style>
  <w:style w:type="paragraph" w:styleId="NoSpacing">
    <w:name w:val="No Spacing"/>
    <w:uiPriority w:val="1"/>
    <w:qFormat/>
    <w:rsid w:val="009944f7"/>
    <w:pPr>
      <w:widowControl/>
      <w:bidi w:val="0"/>
      <w:spacing w:lineRule="auto" w:line="240" w:before="0" w:after="0"/>
      <w:jc w:val="left"/>
    </w:pPr>
    <w:rPr>
      <w:rFonts w:ascii="YU C Times" w:hAnsi="YU C Times" w:eastAsia="Times New Roman" w:cs="Times New Roman"/>
      <w:color w:val="00000A"/>
      <w:sz w:val="24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e3655"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LibreOffice/5.1.0.3$Windows_X86_64 LibreOffice_project/5e3e00a007d9b3b6efb6797a8b8e57b51ab1f737</Application>
  <Pages>2</Pages>
  <Words>470</Words>
  <Characters>3565</Characters>
  <CharactersWithSpaces>4043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2020-11-26T08:37:00Z</dcterms:created>
  <dc:creator>Jelena Vujasinovic</dc:creator>
  <dc:description/>
  <dc:language>sr-Latn-RS</dc:language>
  <cp:lastModifiedBy/>
  <dcterms:modified xsi:type="dcterms:W3CDTF">2022-03-22T11:53:18Z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