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BD" w:rsidRPr="00BC54F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Република Србија</w:t>
      </w:r>
    </w:p>
    <w:p w:rsidR="006774BD" w:rsidRPr="00BC54FB" w:rsidRDefault="006774BD" w:rsidP="006774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Аутономна Покрајина Војводина</w:t>
      </w:r>
    </w:p>
    <w:p w:rsidR="006774BD" w:rsidRPr="00BC54F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Општина Сента</w:t>
      </w:r>
    </w:p>
    <w:p w:rsidR="006774BD" w:rsidRPr="00BC54F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Председник</w:t>
      </w:r>
      <w:proofErr w:type="spellEnd"/>
      <w:r w:rsidRPr="00BC5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Општине</w:t>
      </w:r>
      <w:proofErr w:type="spellEnd"/>
    </w:p>
    <w:p w:rsidR="006774BD" w:rsidRPr="00BC54F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Број: </w:t>
      </w:r>
      <w:r w:rsidRPr="00BC54FB">
        <w:rPr>
          <w:rFonts w:ascii="Times New Roman" w:hAnsi="Times New Roman" w:cs="Times New Roman"/>
          <w:b/>
          <w:sz w:val="28"/>
          <w:szCs w:val="28"/>
        </w:rPr>
        <w:t>415-</w:t>
      </w:r>
      <w:r>
        <w:rPr>
          <w:rFonts w:ascii="Times New Roman" w:hAnsi="Times New Roman" w:cs="Times New Roman"/>
          <w:b/>
          <w:sz w:val="28"/>
          <w:szCs w:val="28"/>
        </w:rPr>
        <w:t>__/2019</w:t>
      </w:r>
      <w:r w:rsidRPr="00BC54FB">
        <w:rPr>
          <w:rFonts w:ascii="Times New Roman" w:hAnsi="Times New Roman" w:cs="Times New Roman"/>
          <w:b/>
          <w:sz w:val="28"/>
          <w:szCs w:val="28"/>
        </w:rPr>
        <w:t>-II</w:t>
      </w:r>
    </w:p>
    <w:p w:rsidR="006774BD" w:rsidRPr="00BC54F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C54FB">
        <w:rPr>
          <w:rFonts w:ascii="Times New Roman" w:hAnsi="Times New Roman" w:cs="Times New Roman"/>
          <w:b/>
          <w:sz w:val="28"/>
          <w:szCs w:val="28"/>
          <w:lang w:val="en-GB"/>
        </w:rPr>
        <w:t>.1</w:t>
      </w:r>
      <w:r w:rsidRPr="00BC54FB">
        <w:rPr>
          <w:rFonts w:ascii="Times New Roman" w:hAnsi="Times New Roman" w:cs="Times New Roman"/>
          <w:b/>
          <w:sz w:val="28"/>
          <w:szCs w:val="28"/>
        </w:rPr>
        <w:t>1</w:t>
      </w:r>
      <w:r w:rsidRPr="00BC54FB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6774BD" w:rsidRPr="006774BD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С е н т а</w:t>
      </w:r>
    </w:p>
    <w:p w:rsid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  <w:r w:rsidRPr="006774BD">
        <w:rPr>
          <w:rFonts w:ascii="Times New Roman" w:hAnsi="Times New Roman" w:cs="Times New Roman"/>
          <w:sz w:val="28"/>
          <w:szCs w:val="28"/>
          <w:lang w:val="sr-Cyrl-CS"/>
        </w:rPr>
        <w:t>На основу члана</w:t>
      </w:r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6774BD">
        <w:rPr>
          <w:rFonts w:ascii="Times New Roman" w:hAnsi="Times New Roman" w:cs="Times New Roman"/>
          <w:sz w:val="28"/>
          <w:szCs w:val="28"/>
        </w:rPr>
        <w:t>/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2007</w:t>
      </w:r>
      <w:r w:rsidRPr="006774BD">
        <w:rPr>
          <w:rFonts w:ascii="Times New Roman" w:hAnsi="Times New Roman" w:cs="Times New Roman"/>
          <w:sz w:val="28"/>
          <w:szCs w:val="28"/>
        </w:rPr>
        <w:t xml:space="preserve"> и 83/2014 –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101/2016 -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и 47/2018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6774BD">
        <w:rPr>
          <w:rFonts w:ascii="Times New Roman" w:hAnsi="Times New Roman" w:cs="Times New Roman"/>
          <w:sz w:val="28"/>
          <w:szCs w:val="28"/>
        </w:rPr>
        <w:t>4/2019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6774BD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члана </w:t>
      </w:r>
      <w:r w:rsidRPr="006774B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Правилника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реализацији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подршке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руралног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>. 17/2019)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, а на предлог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Pr="006774BD">
        <w:rPr>
          <w:rFonts w:ascii="Times New Roman" w:hAnsi="Times New Roman" w:cs="Times New Roman"/>
          <w:sz w:val="28"/>
          <w:szCs w:val="28"/>
        </w:rPr>
        <w:t>18</w:t>
      </w:r>
      <w:r w:rsidRPr="006774BD">
        <w:rPr>
          <w:rFonts w:ascii="Times New Roman" w:hAnsi="Times New Roman" w:cs="Times New Roman"/>
          <w:sz w:val="28"/>
          <w:szCs w:val="28"/>
          <w:lang w:val="en-GB"/>
        </w:rPr>
        <w:t>.11.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201</w:t>
      </w:r>
      <w:r w:rsidRPr="006774BD">
        <w:rPr>
          <w:rFonts w:ascii="Times New Roman" w:hAnsi="Times New Roman" w:cs="Times New Roman"/>
          <w:sz w:val="28"/>
          <w:szCs w:val="28"/>
        </w:rPr>
        <w:t>9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године, Председник општине Сента дана </w:t>
      </w:r>
      <w:r w:rsidR="00A56DEA">
        <w:rPr>
          <w:rFonts w:ascii="Times New Roman" w:hAnsi="Times New Roman" w:cs="Times New Roman"/>
          <w:sz w:val="28"/>
          <w:szCs w:val="28"/>
        </w:rPr>
        <w:t>22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.11. 20</w:t>
      </w:r>
      <w:r w:rsidRPr="006774BD">
        <w:rPr>
          <w:rFonts w:ascii="Times New Roman" w:hAnsi="Times New Roman" w:cs="Times New Roman"/>
          <w:sz w:val="28"/>
          <w:szCs w:val="28"/>
        </w:rPr>
        <w:t>19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</w:t>
      </w:r>
      <w:r w:rsidRPr="006774BD">
        <w:rPr>
          <w:rFonts w:ascii="Times New Roman" w:hAnsi="Times New Roman" w:cs="Times New Roman"/>
          <w:sz w:val="28"/>
          <w:szCs w:val="28"/>
          <w:lang w:val="hu-HU"/>
        </w:rPr>
        <w:t>доно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си</w:t>
      </w:r>
      <w:r w:rsidRPr="006774B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следећу </w:t>
      </w: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4BD" w:rsidRPr="006774BD" w:rsidRDefault="006774BD" w:rsidP="006774B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774BD">
        <w:rPr>
          <w:rFonts w:ascii="Times New Roman" w:hAnsi="Times New Roman" w:cs="Times New Roman"/>
          <w:b/>
          <w:sz w:val="28"/>
          <w:szCs w:val="28"/>
          <w:lang w:val="sr-Cyrl-CS"/>
        </w:rPr>
        <w:t>ОДЛУКУ</w:t>
      </w:r>
    </w:p>
    <w:p w:rsidR="006774BD" w:rsidRPr="006774BD" w:rsidRDefault="006774BD" w:rsidP="006774B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774BD">
        <w:rPr>
          <w:rFonts w:ascii="Times New Roman" w:hAnsi="Times New Roman" w:cs="Times New Roman"/>
          <w:b/>
          <w:sz w:val="28"/>
          <w:szCs w:val="28"/>
        </w:rPr>
        <w:t>О ДОДЕЛИ СРЕДСТАВА БУЏЕТСКОГ ФОНДА ЗА РАЗВОЈ ПОЉОПРИВРЕДЕ ОПШТИНЕ СЕНТА</w:t>
      </w:r>
    </w:p>
    <w:p w:rsidR="006774BD" w:rsidRPr="006774BD" w:rsidRDefault="006774BD" w:rsidP="006774B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6774BD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6774BD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6774BD" w:rsidRPr="006774BD" w:rsidRDefault="006774BD" w:rsidP="0067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Бесповратна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b/>
          <w:sz w:val="28"/>
          <w:szCs w:val="28"/>
          <w:u w:val="single"/>
        </w:rPr>
        <w:t>додељују</w:t>
      </w:r>
      <w:proofErr w:type="spellEnd"/>
      <w:r w:rsidRPr="0067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774BD">
        <w:rPr>
          <w:rFonts w:ascii="Times New Roman" w:hAnsi="Times New Roman" w:cs="Times New Roman"/>
          <w:b/>
          <w:sz w:val="28"/>
          <w:szCs w:val="28"/>
          <w:u w:val="single"/>
        </w:rPr>
        <w:t>се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следећим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регистрованим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пољопривредницима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давање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подршке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виду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суфинансирања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премије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осигурања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усева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плодова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вишегодишњих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засада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расадника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</w:p>
    <w:p w:rsidR="006774BD" w:rsidRPr="006774BD" w:rsidRDefault="006774BD" w:rsidP="006774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3124"/>
        <w:gridCol w:w="1900"/>
        <w:gridCol w:w="1494"/>
      </w:tblGrid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Редни</w:t>
            </w:r>
            <w:proofErr w:type="spellEnd"/>
            <w:r w:rsidRPr="0067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</w:t>
            </w:r>
            <w:proofErr w:type="spellEnd"/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Презиме</w:t>
            </w:r>
            <w:proofErr w:type="spellEnd"/>
            <w:r w:rsidRPr="0067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7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Одобрени</w:t>
            </w:r>
            <w:proofErr w:type="spellEnd"/>
            <w:r w:rsidRPr="0067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износ</w:t>
            </w:r>
            <w:proofErr w:type="spellEnd"/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Шош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Билицки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Аманда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4,868.00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Рожа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Моника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1,720.00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Сич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Каталин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Фодор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Анита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1,250.00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Калмар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11,054.00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Микоња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6,008.00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Киш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Бичкеи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Жужана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3,818.00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Бурањ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Оршоља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14,630.00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Пушкаш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Магдолна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2,975.00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Фехер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Теодора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8,894.00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Стеван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Стајић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Копас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5,103.00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Кинчеш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Јожеф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16,619.00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Чизмадиа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Ирен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5,509.00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Шош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Арпад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8,192.00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Киш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Бичкеи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Каплар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Етелка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5,966.00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Касаш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Терезија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7,272.00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Деак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Марија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Дивеки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Каталин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10,549.00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Тот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Тибор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Кинчеш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Ирен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5,676.00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Шоти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Ержебет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9,444.00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Бурањ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Имре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2,919.00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Атила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7,302.00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Чабаи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Норберт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2,838.00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Борбала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11,330.00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Шош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Шандор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2,723.00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Шош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Рихард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2,359.00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Дулић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11,153.00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Калмар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Лорант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1,738.00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Стајић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Леринц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Ласло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4,944.00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Калмар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Антал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4,868.00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Ђере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Геза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4,990.00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Нађ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Абоњи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Ђула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11,369.00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Нађ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Мељкути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Михаљ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15,664.00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Рожа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Оливер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5,138.00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Фајка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Ласло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10,722.00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774BD" w:rsidRPr="006774BD" w:rsidTr="00060D07">
        <w:trPr>
          <w:trHeight w:val="300"/>
          <w:jc w:val="center"/>
        </w:trPr>
        <w:tc>
          <w:tcPr>
            <w:tcW w:w="1170" w:type="dxa"/>
            <w:shd w:val="clear" w:color="auto" w:fill="FFFFFF"/>
            <w:vAlign w:val="center"/>
          </w:tcPr>
          <w:p w:rsidR="006774BD" w:rsidRPr="006774BD" w:rsidRDefault="006774BD" w:rsidP="00765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Калаи</w:t>
            </w:r>
            <w:proofErr w:type="spellEnd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Чаба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2,375.00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774BD" w:rsidRPr="006774BD" w:rsidRDefault="006774BD" w:rsidP="0067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4BD" w:rsidRPr="006774BD" w:rsidRDefault="006774BD" w:rsidP="0067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4BD" w:rsidRPr="006774BD" w:rsidRDefault="006774BD" w:rsidP="006774B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6774BD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6774BD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6774BD" w:rsidRPr="006774BD" w:rsidRDefault="006774BD" w:rsidP="006774BD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Право на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исплату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r w:rsidRPr="006774BD">
        <w:rPr>
          <w:rFonts w:ascii="Times New Roman" w:hAnsi="Times New Roman" w:cs="Times New Roman"/>
          <w:b/>
          <w:sz w:val="28"/>
          <w:szCs w:val="28"/>
          <w:lang w:val="sr-Cyrl-CS"/>
        </w:rPr>
        <w:t>ни</w:t>
      </w:r>
      <w:proofErr w:type="spellStart"/>
      <w:r w:rsidRPr="006774BD">
        <w:rPr>
          <w:rFonts w:ascii="Times New Roman" w:hAnsi="Times New Roman" w:cs="Times New Roman"/>
          <w:b/>
          <w:sz w:val="28"/>
          <w:szCs w:val="28"/>
        </w:rPr>
        <w:t>су</w:t>
      </w:r>
      <w:proofErr w:type="spellEnd"/>
      <w:r w:rsidRPr="00677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4BD">
        <w:rPr>
          <w:rFonts w:ascii="Times New Roman" w:hAnsi="Times New Roman" w:cs="Times New Roman"/>
          <w:b/>
          <w:sz w:val="28"/>
          <w:szCs w:val="28"/>
          <w:lang w:val="sr-Cyrl-CS"/>
        </w:rPr>
        <w:t>оствари</w:t>
      </w:r>
      <w:proofErr w:type="spellStart"/>
      <w:r w:rsidRPr="006774BD">
        <w:rPr>
          <w:rFonts w:ascii="Times New Roman" w:hAnsi="Times New Roman" w:cs="Times New Roman"/>
          <w:b/>
          <w:sz w:val="28"/>
          <w:szCs w:val="28"/>
        </w:rPr>
        <w:t>ли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следећи учесни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конкурса:</w:t>
      </w:r>
    </w:p>
    <w:p w:rsidR="006774BD" w:rsidRPr="006774BD" w:rsidRDefault="006774BD" w:rsidP="006774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984"/>
        <w:gridCol w:w="3503"/>
      </w:tblGrid>
      <w:tr w:rsidR="006774BD" w:rsidRPr="006774BD" w:rsidTr="004B2D02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број</w:t>
            </w:r>
            <w:proofErr w:type="spellEnd"/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</w:p>
        </w:tc>
      </w:tr>
      <w:tr w:rsidR="006774BD" w:rsidRPr="006774BD" w:rsidTr="004B2D02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Шоти</w:t>
            </w:r>
            <w:proofErr w:type="spellEnd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Роберт</w:t>
            </w:r>
            <w:proofErr w:type="spellEnd"/>
          </w:p>
        </w:tc>
      </w:tr>
      <w:tr w:rsidR="006774BD" w:rsidRPr="006774BD" w:rsidTr="004B2D02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Шоти</w:t>
            </w:r>
            <w:proofErr w:type="spellEnd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Ендре</w:t>
            </w:r>
            <w:proofErr w:type="spellEnd"/>
          </w:p>
        </w:tc>
      </w:tr>
      <w:tr w:rsidR="006774BD" w:rsidRPr="006774BD" w:rsidTr="004B2D02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Бурањ</w:t>
            </w:r>
            <w:proofErr w:type="spellEnd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Петер</w:t>
            </w:r>
            <w:proofErr w:type="spellEnd"/>
          </w:p>
        </w:tc>
      </w:tr>
      <w:tr w:rsidR="006774BD" w:rsidRPr="006774BD" w:rsidTr="004B2D02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4BD" w:rsidRPr="006774BD" w:rsidRDefault="006774BD" w:rsidP="00765C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4BD" w:rsidRPr="006774BD" w:rsidRDefault="006774BD" w:rsidP="00765C8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Бурањ</w:t>
            </w:r>
            <w:proofErr w:type="spellEnd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4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Кристиан</w:t>
            </w:r>
            <w:proofErr w:type="spellEnd"/>
          </w:p>
        </w:tc>
      </w:tr>
      <w:tr w:rsidR="004B2D02" w:rsidRPr="006774BD" w:rsidTr="004B2D02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02" w:rsidRPr="006774BD" w:rsidRDefault="004B2D02" w:rsidP="00765C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02" w:rsidRPr="004B2D02" w:rsidRDefault="004B2D02" w:rsidP="00765C8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Шош Беата</w:t>
            </w:r>
          </w:p>
        </w:tc>
      </w:tr>
      <w:tr w:rsidR="004B2D02" w:rsidRPr="006774BD" w:rsidTr="004B2D02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02" w:rsidRDefault="004B2D02" w:rsidP="00765C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02" w:rsidRDefault="004B2D02" w:rsidP="00765C8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Плетикосић Арпад</w:t>
            </w:r>
          </w:p>
        </w:tc>
      </w:tr>
      <w:tr w:rsidR="004B2D02" w:rsidRPr="006774BD" w:rsidTr="004B2D02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02" w:rsidRDefault="004B2D02" w:rsidP="00765C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02" w:rsidRDefault="004B2D02" w:rsidP="00765C8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Молнар Чила</w:t>
            </w:r>
          </w:p>
        </w:tc>
      </w:tr>
      <w:tr w:rsidR="004B2D02" w:rsidRPr="006774BD" w:rsidTr="004B2D02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02" w:rsidRDefault="004B2D02" w:rsidP="00765C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D02" w:rsidRDefault="004B2D02" w:rsidP="00765C8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Ласло Атила</w:t>
            </w:r>
          </w:p>
        </w:tc>
      </w:tr>
    </w:tbl>
    <w:p w:rsidR="006774BD" w:rsidRPr="006774BD" w:rsidRDefault="006774BD" w:rsidP="00677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4BD" w:rsidRPr="006774BD" w:rsidRDefault="006774BD" w:rsidP="006774B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6774BD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6774BD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Права и обавезе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корисника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Буџетског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регулисаће се уговором.</w:t>
      </w:r>
    </w:p>
    <w:p w:rsidR="006774BD" w:rsidRPr="006774BD" w:rsidRDefault="006774BD" w:rsidP="006774BD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 w:rsidRPr="006774BD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6774BD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Уговор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додели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Буџетског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са</w:t>
      </w:r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корисником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  <w:lang w:val="hu-HU"/>
        </w:rPr>
        <w:t>б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иће</w:t>
      </w:r>
      <w:r w:rsidRPr="006774B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закључен</w:t>
      </w:r>
      <w:r w:rsidRPr="00677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10.12.2019.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C1D86" w:rsidRPr="009F5463" w:rsidRDefault="009C1D86" w:rsidP="009C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F5463">
        <w:rPr>
          <w:rFonts w:ascii="Times New Roman" w:hAnsi="Times New Roman" w:cs="Times New Roman"/>
          <w:b/>
          <w:sz w:val="28"/>
          <w:szCs w:val="28"/>
        </w:rPr>
        <w:t>.</w:t>
      </w:r>
    </w:p>
    <w:p w:rsidR="009C1D86" w:rsidRPr="009F5463" w:rsidRDefault="009C1D86" w:rsidP="009C1D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Одлуку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треба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објавити на званичној страници општине Сента</w:t>
      </w:r>
      <w:r w:rsidRPr="009F5463">
        <w:rPr>
          <w:rFonts w:ascii="Times New Roman" w:hAnsi="Times New Roman" w:cs="Times New Roman"/>
          <w:sz w:val="28"/>
          <w:szCs w:val="28"/>
        </w:rPr>
        <w:t>.</w:t>
      </w:r>
    </w:p>
    <w:p w:rsid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71E" w:rsidRDefault="00FF371E" w:rsidP="00677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71E" w:rsidRDefault="00FF371E" w:rsidP="00677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71E" w:rsidRPr="006774BD" w:rsidRDefault="00FF371E" w:rsidP="00677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4BD" w:rsidRPr="006774BD" w:rsidRDefault="006774BD" w:rsidP="006774B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774BD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 б р а з л о ж е њ е</w:t>
      </w:r>
    </w:p>
    <w:p w:rsidR="006774BD" w:rsidRPr="006774BD" w:rsidRDefault="006774BD" w:rsidP="006774B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774BD" w:rsidRPr="006774BD" w:rsidRDefault="006774BD" w:rsidP="0067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Дана </w:t>
      </w:r>
      <w:r w:rsidRPr="006774BD">
        <w:rPr>
          <w:rFonts w:ascii="Times New Roman" w:hAnsi="Times New Roman" w:cs="Times New Roman"/>
          <w:sz w:val="28"/>
          <w:szCs w:val="28"/>
        </w:rPr>
        <w:t>18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6774BD">
        <w:rPr>
          <w:rFonts w:ascii="Times New Roman" w:hAnsi="Times New Roman" w:cs="Times New Roman"/>
          <w:sz w:val="28"/>
          <w:szCs w:val="28"/>
        </w:rPr>
        <w:t>10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Pr="006774BD">
        <w:rPr>
          <w:rFonts w:ascii="Times New Roman" w:hAnsi="Times New Roman" w:cs="Times New Roman"/>
          <w:sz w:val="28"/>
          <w:szCs w:val="28"/>
        </w:rPr>
        <w:t>9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Председник општине Сента расписао је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доделу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регистрованим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пољопривредницима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давање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подршке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виду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суфинансирања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премије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осигурања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усева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плодова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вишегодишњих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засада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расадника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18.10.2019.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у "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Службеном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листу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огласној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табли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Општинске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просторијама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месних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заједница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званичном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www.zenta-senta.co.rs.</w:t>
      </w:r>
    </w:p>
    <w:p w:rsidR="006774BD" w:rsidRPr="006774BD" w:rsidRDefault="006774BD" w:rsidP="0067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B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конкурсу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предвиђеном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подношење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тј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04.11.2019.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пристигло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  <w:lang w:val="hu-HU"/>
        </w:rPr>
        <w:t>48</w:t>
      </w:r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пријавa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>.</w:t>
      </w: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на својој седници одржаној дана</w:t>
      </w:r>
      <w:r w:rsidRPr="006774BD">
        <w:rPr>
          <w:rFonts w:ascii="Times New Roman" w:hAnsi="Times New Roman" w:cs="Times New Roman"/>
          <w:sz w:val="28"/>
          <w:szCs w:val="28"/>
        </w:rPr>
        <w:t xml:space="preserve"> 18.11.2019.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утврдила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укупно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пристиглих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пријава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нису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испунилe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конкурсом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предвиђене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услове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размaтрaла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>.</w:t>
      </w: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  <w:r w:rsidRPr="006774BD">
        <w:rPr>
          <w:rFonts w:ascii="Times New Roman" w:hAnsi="Times New Roman" w:cs="Times New Roman"/>
          <w:sz w:val="28"/>
          <w:szCs w:val="28"/>
          <w:lang w:val="sr-Cyrl-CS"/>
        </w:rPr>
        <w:t>На основу преосталих</w:t>
      </w:r>
      <w:r w:rsidRPr="006774BD">
        <w:rPr>
          <w:rFonts w:ascii="Times New Roman" w:hAnsi="Times New Roman" w:cs="Times New Roman"/>
          <w:sz w:val="28"/>
          <w:szCs w:val="28"/>
        </w:rPr>
        <w:t xml:space="preserve"> 44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пријава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је у складу са својим овлашћењима из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12.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Правилника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реализацији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подршке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руралног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>. 17/2019)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саставила листу могућих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добитника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који испуњавају услове за доделу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Листа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регистрованих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пољопривредника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додељивање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сачињена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начела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првенства</w:t>
      </w:r>
      <w:proofErr w:type="spellEnd"/>
      <w:r w:rsidR="00702D3E">
        <w:rPr>
          <w:rFonts w:ascii="Times New Roman" w:hAnsi="Times New Roman" w:cs="Times New Roman"/>
          <w:sz w:val="28"/>
          <w:szCs w:val="28"/>
        </w:rPr>
        <w:t>,</w:t>
      </w:r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прописано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чланом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Правилника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реализацији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подршке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руралног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. 17/2019),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следећем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  <w:r w:rsidRPr="006774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Уколико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више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подносилаца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пријава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имају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једнак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бодова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предност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подносилац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тренутку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подношења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располаже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мањом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површином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пољопривредног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земљишта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>.</w:t>
      </w: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  <w:r w:rsidRPr="006774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Уколико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више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подносилаца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пријава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имају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једнак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бодова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и у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тренутку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подношења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располажу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једнаком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површином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lastRenderedPageBreak/>
        <w:t>пољопривредног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земљишта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предност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подносилац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раније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поднео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пријаву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>.</w:t>
      </w: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Према члану </w:t>
      </w:r>
      <w:r w:rsidRPr="006774BD">
        <w:rPr>
          <w:rFonts w:ascii="Times New Roman" w:hAnsi="Times New Roman" w:cs="Times New Roman"/>
          <w:sz w:val="28"/>
          <w:szCs w:val="28"/>
        </w:rPr>
        <w:t>12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. став</w:t>
      </w:r>
      <w:r w:rsidRPr="006774BD">
        <w:rPr>
          <w:rFonts w:ascii="Times New Roman" w:hAnsi="Times New Roman" w:cs="Times New Roman"/>
          <w:sz w:val="28"/>
          <w:szCs w:val="28"/>
        </w:rPr>
        <w:t>а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</w:rPr>
        <w:t>6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Правилника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реализацији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подршке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руралног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>. 17/2019)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, Одлуку о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додели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Буџетског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доноси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председник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напред наведених донета је Одлука као у диспозитиву. </w:t>
      </w:r>
    </w:p>
    <w:p w:rsidR="00702D3E" w:rsidRPr="00702D3E" w:rsidRDefault="00702D3E" w:rsidP="00677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ПОУКА О ПРАВНОМ СРЕДСТВУ: Против ове одлуке незадовољан учесник Конкурса може поднети жалбу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Општинском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Већу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у року од 15 дана од дана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објављивања</w:t>
      </w:r>
      <w:proofErr w:type="spellEnd"/>
      <w:r w:rsidRPr="006774BD">
        <w:rPr>
          <w:rFonts w:ascii="Times New Roman" w:hAnsi="Times New Roman" w:cs="Times New Roman"/>
          <w:sz w:val="28"/>
          <w:szCs w:val="28"/>
          <w:lang w:val="sr-Cyrl-CS"/>
        </w:rPr>
        <w:t xml:space="preserve"> ове одлуке</w:t>
      </w:r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B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74BD">
        <w:rPr>
          <w:rFonts w:ascii="Times New Roman" w:hAnsi="Times New Roman" w:cs="Times New Roman"/>
          <w:sz w:val="28"/>
          <w:szCs w:val="28"/>
        </w:rPr>
        <w:t xml:space="preserve">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званичној web презентацији општине Сента.</w:t>
      </w: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4BD" w:rsidRPr="006774BD" w:rsidRDefault="006774BD" w:rsidP="006774BD">
      <w:pPr>
        <w:ind w:left="4248"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774BD">
        <w:rPr>
          <w:rFonts w:ascii="Times New Roman" w:hAnsi="Times New Roman" w:cs="Times New Roman"/>
          <w:sz w:val="28"/>
          <w:szCs w:val="28"/>
          <w:lang w:val="sr-Cyrl-CS"/>
        </w:rPr>
        <w:t>Председник општине Сента</w:t>
      </w:r>
    </w:p>
    <w:p w:rsidR="006774BD" w:rsidRPr="006774BD" w:rsidRDefault="006774BD" w:rsidP="006774BD">
      <w:pPr>
        <w:jc w:val="both"/>
        <w:rPr>
          <w:rFonts w:ascii="Times New Roman" w:hAnsi="Times New Roman" w:cs="Times New Roman"/>
          <w:sz w:val="28"/>
          <w:szCs w:val="28"/>
        </w:rPr>
      </w:pPr>
      <w:r w:rsidRPr="006774B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774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774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74BD">
        <w:rPr>
          <w:rFonts w:ascii="Times New Roman" w:hAnsi="Times New Roman" w:cs="Times New Roman"/>
          <w:sz w:val="28"/>
          <w:szCs w:val="28"/>
          <w:lang w:val="sr-Cyrl-CS"/>
        </w:rPr>
        <w:t>Рудолф Цегледи</w:t>
      </w:r>
    </w:p>
    <w:p w:rsidR="00D32855" w:rsidRDefault="00D32855"/>
    <w:sectPr w:rsidR="00D32855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74BD"/>
    <w:rsid w:val="00060D07"/>
    <w:rsid w:val="002A7B35"/>
    <w:rsid w:val="00385812"/>
    <w:rsid w:val="004B2D02"/>
    <w:rsid w:val="004B3BF7"/>
    <w:rsid w:val="006774BD"/>
    <w:rsid w:val="00683486"/>
    <w:rsid w:val="00702D3E"/>
    <w:rsid w:val="007C7149"/>
    <w:rsid w:val="009729F0"/>
    <w:rsid w:val="009C1D86"/>
    <w:rsid w:val="009F4520"/>
    <w:rsid w:val="00A56DEA"/>
    <w:rsid w:val="00A662A3"/>
    <w:rsid w:val="00BF7DD9"/>
    <w:rsid w:val="00D32855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9</cp:revision>
  <dcterms:created xsi:type="dcterms:W3CDTF">2019-11-22T08:28:00Z</dcterms:created>
  <dcterms:modified xsi:type="dcterms:W3CDTF">2019-11-22T11:25:00Z</dcterms:modified>
</cp:coreProperties>
</file>