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2016A5">
        <w:rPr>
          <w:rFonts w:ascii="Times New Roman" w:hAnsi="Times New Roman" w:cs="Times New Roman"/>
          <w:lang w:val="sr-Cyrl-CS"/>
        </w:rPr>
        <w:t>30</w:t>
      </w:r>
      <w:r w:rsidRPr="00434C75">
        <w:rPr>
          <w:rFonts w:ascii="Times New Roman" w:hAnsi="Times New Roman" w:cs="Times New Roman"/>
          <w:lang w:val="sr-Cyrl-CS"/>
        </w:rPr>
        <w:t>-</w:t>
      </w:r>
      <w:r w:rsidR="00BB63A9">
        <w:rPr>
          <w:rFonts w:ascii="Times New Roman" w:hAnsi="Times New Roman" w:cs="Times New Roman"/>
          <w:lang w:val="sr-Cyrl-CS"/>
        </w:rPr>
        <w:t>7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BB63A9">
        <w:rPr>
          <w:rFonts w:ascii="Times New Roman" w:hAnsi="Times New Roman" w:cs="Times New Roman"/>
          <w:lang w:val="sr-Cyrl-CS"/>
        </w:rPr>
        <w:t>8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2B635F">
        <w:rPr>
          <w:rFonts w:ascii="Times New Roman" w:hAnsi="Times New Roman" w:cs="Times New Roman"/>
          <w:lang w:val="sr-Cyrl-CS"/>
        </w:rPr>
        <w:t>марта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2B635F" w:rsidRDefault="002B635F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2B635F">
        <w:rPr>
          <w:rFonts w:ascii="Times New Roman" w:hAnsi="Times New Roman" w:cs="Times New Roman"/>
          <w:b/>
          <w:u w:val="single"/>
          <w:lang w:val="sr-Cyrl-BA"/>
        </w:rPr>
        <w:t>ПОДРШКЕ ЕКОНОМСКОМ РАЗВОЈУ И ПРОМОЦИЈИ ПРЕДУЗЕТНИШТВА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B635F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B635F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2B635F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2B635F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2B635F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2B635F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2B635F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Pr="002B635F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2B635F" w:rsidRDefault="001D17A2" w:rsidP="002B635F">
      <w:pPr>
        <w:jc w:val="both"/>
        <w:rPr>
          <w:rFonts w:ascii="Times New Roman" w:hAnsi="Times New Roman"/>
          <w:lang w:val="sr-Cyrl-BA"/>
        </w:rPr>
      </w:pPr>
      <w:r w:rsidRPr="002B635F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2B635F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2B635F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2B635F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2B635F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2B635F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2B635F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2B635F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2B635F">
        <w:rPr>
          <w:rFonts w:ascii="Times New Roman" w:hAnsi="Times New Roman" w:cs="Times New Roman"/>
          <w:lang w:val="sr-Cyrl-CS"/>
        </w:rPr>
        <w:t>(„Службени лист</w:t>
      </w:r>
      <w:r w:rsidR="00A96C9A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2B635F">
        <w:rPr>
          <w:rFonts w:ascii="Times New Roman" w:hAnsi="Times New Roman" w:cs="Times New Roman"/>
          <w:lang w:val="sr-Cyrl-CS"/>
        </w:rPr>
        <w:t>општине</w:t>
      </w:r>
      <w:r w:rsidR="00A96C9A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2B635F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2B635F">
        <w:rPr>
          <w:rFonts w:ascii="Times New Roman" w:hAnsi="Times New Roman" w:cs="Times New Roman"/>
          <w:lang w:val="sr-Cyrl-CS"/>
        </w:rPr>
        <w:t>”,</w:t>
      </w:r>
      <w:r w:rsidR="00A96C9A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2B635F">
        <w:rPr>
          <w:rFonts w:ascii="Times New Roman" w:hAnsi="Times New Roman" w:cs="Times New Roman"/>
          <w:lang w:val="sr-Cyrl-CS"/>
        </w:rPr>
        <w:t>број</w:t>
      </w:r>
      <w:r w:rsidR="00A96C9A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2B635F">
        <w:rPr>
          <w:rFonts w:ascii="Times New Roman" w:hAnsi="Times New Roman" w:cs="Times New Roman"/>
          <w:lang w:val="sr-Cyrl-CS"/>
        </w:rPr>
        <w:t>31/2021)</w:t>
      </w:r>
      <w:r w:rsidR="00A96C9A" w:rsidRPr="002B635F">
        <w:rPr>
          <w:rFonts w:ascii="Times New Roman" w:eastAsia="Calibri" w:hAnsi="Times New Roman" w:cs="Times New Roman"/>
          <w:lang w:val="sr-Cyrl-CS"/>
        </w:rPr>
        <w:t xml:space="preserve">, и то </w:t>
      </w:r>
      <w:r w:rsidR="002B635F" w:rsidRPr="002B635F">
        <w:rPr>
          <w:rFonts w:ascii="Times New Roman" w:hAnsi="Times New Roman"/>
          <w:lang w:val="sr-Cyrl-BA"/>
        </w:rPr>
        <w:t xml:space="preserve">у оквиру програма број 1501 под називом „ЛОКАЛНИ ЕКОНОМСКИ РАЗВОЈ“,  као активност под бројем 0003 и под називом „Подршка економском развоју и промоцији предузетништва“, под шифром функционалне класификације број 411 и под називом „Општи економски и комерцијални послови“, под бројем позиције 97/0, као економска класификација број 481000 описана као „ДОТАЦИЈЕ НЕВЛАДИНИМ ОРГАНИЗАЦИЈАМА“, у износу од </w:t>
      </w:r>
      <w:r w:rsidR="002B635F" w:rsidRPr="002B635F">
        <w:rPr>
          <w:rFonts w:ascii="Times New Roman" w:hAnsi="Times New Roman"/>
          <w:b/>
          <w:lang w:val="sr-Cyrl-BA"/>
        </w:rPr>
        <w:t>700.000,00 динара</w:t>
      </w:r>
    </w:p>
    <w:p w:rsidR="002B635F" w:rsidRPr="00434C75" w:rsidRDefault="002B635F" w:rsidP="002B635F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2B635F" w:rsidRPr="002B635F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CD053B" w:rsidRPr="00F155A1" w:rsidRDefault="00CD053B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23" w:rsidRDefault="00821623" w:rsidP="009F428A">
      <w:r>
        <w:separator/>
      </w:r>
    </w:p>
  </w:endnote>
  <w:endnote w:type="continuationSeparator" w:id="0">
    <w:p w:rsidR="00821623" w:rsidRDefault="0082162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23" w:rsidRDefault="00821623" w:rsidP="009F428A">
      <w:r>
        <w:separator/>
      </w:r>
    </w:p>
  </w:footnote>
  <w:footnote w:type="continuationSeparator" w:id="0">
    <w:p w:rsidR="00821623" w:rsidRDefault="0082162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42A14"/>
    <w:rsid w:val="001C30BA"/>
    <w:rsid w:val="001C61BA"/>
    <w:rsid w:val="001D17A2"/>
    <w:rsid w:val="001E13F3"/>
    <w:rsid w:val="001F020C"/>
    <w:rsid w:val="002016A5"/>
    <w:rsid w:val="00214A94"/>
    <w:rsid w:val="00266C43"/>
    <w:rsid w:val="00287289"/>
    <w:rsid w:val="002A2BD5"/>
    <w:rsid w:val="002B635F"/>
    <w:rsid w:val="002C4F5F"/>
    <w:rsid w:val="002F4B4D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607519"/>
    <w:rsid w:val="00616E05"/>
    <w:rsid w:val="00653027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21623"/>
    <w:rsid w:val="008A2BF7"/>
    <w:rsid w:val="008A4144"/>
    <w:rsid w:val="008D0AB4"/>
    <w:rsid w:val="008D3EC1"/>
    <w:rsid w:val="009056CC"/>
    <w:rsid w:val="009172FA"/>
    <w:rsid w:val="009D1AE2"/>
    <w:rsid w:val="009F428A"/>
    <w:rsid w:val="00A014A1"/>
    <w:rsid w:val="00A34F2D"/>
    <w:rsid w:val="00A52194"/>
    <w:rsid w:val="00A96C9A"/>
    <w:rsid w:val="00AA611F"/>
    <w:rsid w:val="00AA7E80"/>
    <w:rsid w:val="00B9022B"/>
    <w:rsid w:val="00BB63A9"/>
    <w:rsid w:val="00BD5A2D"/>
    <w:rsid w:val="00C073DF"/>
    <w:rsid w:val="00CA35C4"/>
    <w:rsid w:val="00CD053B"/>
    <w:rsid w:val="00CE1B3E"/>
    <w:rsid w:val="00D05D65"/>
    <w:rsid w:val="00D115A8"/>
    <w:rsid w:val="00D2702B"/>
    <w:rsid w:val="00D73D47"/>
    <w:rsid w:val="00D9097A"/>
    <w:rsid w:val="00DB1537"/>
    <w:rsid w:val="00E3403E"/>
    <w:rsid w:val="00E370BA"/>
    <w:rsid w:val="00EB76FC"/>
    <w:rsid w:val="00EF2457"/>
    <w:rsid w:val="00F155A1"/>
    <w:rsid w:val="00FB02E9"/>
    <w:rsid w:val="00FB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652C5-A8A3-41FB-A4B8-9FBCE703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22</cp:revision>
  <cp:lastPrinted>2022-03-07T12:53:00Z</cp:lastPrinted>
  <dcterms:created xsi:type="dcterms:W3CDTF">2021-06-25T11:18:00Z</dcterms:created>
  <dcterms:modified xsi:type="dcterms:W3CDTF">2022-03-07T12:54:00Z</dcterms:modified>
</cp:coreProperties>
</file>