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04" w:rsidRPr="008A3EAD" w:rsidRDefault="00916504" w:rsidP="00916504">
      <w:pPr>
        <w:pStyle w:val="NoSpacing"/>
        <w:rPr>
          <w:lang w:val="hu-HU"/>
        </w:rPr>
      </w:pPr>
      <w:r w:rsidRPr="008A3EAD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916504" w:rsidRPr="008A3EAD" w:rsidRDefault="0090182F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217-</w:t>
      </w:r>
      <w:r w:rsidR="00605DEE">
        <w:rPr>
          <w:rFonts w:asciiTheme="majorBidi" w:hAnsiTheme="majorBidi" w:cstheme="majorBidi"/>
          <w:sz w:val="24"/>
          <w:szCs w:val="24"/>
          <w:lang/>
        </w:rPr>
        <w:t>28</w:t>
      </w:r>
      <w:proofErr w:type="gramEnd"/>
      <w:r w:rsidR="00916504" w:rsidRPr="008A3EAD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Kelt: 2022. </w:t>
      </w:r>
      <w:proofErr w:type="gramStart"/>
      <w:r w:rsidR="0090182F">
        <w:rPr>
          <w:rFonts w:asciiTheme="majorBidi" w:hAnsiTheme="majorBidi" w:cstheme="majorBidi"/>
          <w:sz w:val="24"/>
          <w:szCs w:val="24"/>
          <w:lang w:val="hu-HU"/>
        </w:rPr>
        <w:t>november  4</w:t>
      </w:r>
      <w:r>
        <w:rPr>
          <w:rFonts w:asciiTheme="majorBidi" w:hAnsiTheme="majorBidi" w:cstheme="majorBidi"/>
          <w:sz w:val="24"/>
          <w:szCs w:val="24"/>
          <w:lang w:val="hu-HU"/>
        </w:rPr>
        <w:t>-én</w:t>
      </w:r>
      <w:proofErr w:type="gramEnd"/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6504" w:rsidRPr="008A3EAD" w:rsidRDefault="00916504" w:rsidP="0091650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>Az egyes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ületek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által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2022-es évi költségvetésével (Zenta Község Hivatalos Lapja, 31/2021. 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és  8/2022.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sz.)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  <w:r w:rsidR="00B6070F"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</w:p>
    <w:p w:rsidR="00916504" w:rsidRPr="007654E5" w:rsidRDefault="0090182F" w:rsidP="0091650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TŰZVÉDELEM</w:t>
      </w:r>
    </w:p>
    <w:p w:rsidR="00916504" w:rsidRDefault="00916504" w:rsidP="00916504">
      <w:pPr>
        <w:rPr>
          <w:lang w:val="hu-HU"/>
        </w:rPr>
      </w:pPr>
    </w:p>
    <w:p w:rsidR="00916504" w:rsidRDefault="00916504" w:rsidP="00916504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916504" w:rsidRDefault="00916504" w:rsidP="0091650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0182F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pályázat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>az egyesületek Zenta község kö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zérdekű programjai/projektumai hiányzó részének az eszközök finanszírozására, amelyet a tűzvédelem területén valósítanak meg.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0182F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</w:t>
      </w:r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AMELYEKNEK  </w:t>
      </w:r>
      <w:proofErr w:type="gramStart"/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0182F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pályázaton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916504">
        <w:rPr>
          <w:rFonts w:asciiTheme="majorBidi" w:hAnsiTheme="majorBidi" w:cstheme="majorBidi"/>
          <w:sz w:val="24"/>
          <w:szCs w:val="24"/>
          <w:lang w:val="hu-HU"/>
        </w:rPr>
        <w:t>részt  vehet</w:t>
      </w:r>
      <w:proofErr w:type="gramEnd"/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az egyesület: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916504" w:rsidRDefault="00916504" w:rsidP="00916504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az egyesület székhelye Zenta község területén van vagy Zenta közsé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g területén van, de községközi egyesületként működik, amely az aktivitásait</w:t>
      </w:r>
      <w:r w:rsidRPr="00CC3CCD"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 valósítja meg.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916504" w:rsidRDefault="00916504" w:rsidP="0091650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0182F" w:rsidRDefault="00916504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zására/társfinanszírozására a tűzvédelem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területen Zenta község 2022-es évi költségvetéséről szóló rendelettel (Zenta Község Hivatalos Lapja,  31/2021. 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és  8/2022. </w:t>
      </w:r>
      <w:r>
        <w:rPr>
          <w:rFonts w:asciiTheme="majorBidi" w:hAnsiTheme="majorBidi" w:cstheme="majorBidi"/>
          <w:sz w:val="24"/>
          <w:szCs w:val="24"/>
          <w:lang w:val="hu-HU"/>
        </w:rPr>
        <w:t>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éspedig a </w:t>
      </w:r>
      <w:r w:rsidR="0090182F" w:rsidRPr="0090182F">
        <w:rPr>
          <w:rFonts w:asciiTheme="majorBidi" w:hAnsiTheme="majorBidi" w:cstheme="majorBidi"/>
          <w:sz w:val="24"/>
          <w:szCs w:val="24"/>
          <w:lang w:val="hu-HU"/>
        </w:rPr>
        <w:t>06</w:t>
      </w:r>
      <w:r w:rsidRPr="0090182F">
        <w:rPr>
          <w:rFonts w:asciiTheme="majorBidi" w:hAnsiTheme="majorBidi" w:cstheme="majorBidi"/>
          <w:sz w:val="24"/>
          <w:szCs w:val="24"/>
          <w:lang w:val="hu-HU"/>
        </w:rPr>
        <w:t>02-es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HELYI ÖNKORMÁNYZAT   ÁLTALÁNOS SZOLGÁLTATÁSAI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Pr="0090182F">
        <w:rPr>
          <w:rFonts w:asciiTheme="majorBidi" w:hAnsiTheme="majorBidi" w:cstheme="majorBidi"/>
          <w:sz w:val="24"/>
          <w:szCs w:val="24"/>
          <w:lang w:val="hu-HU"/>
        </w:rPr>
        <w:t xml:space="preserve">0001-es aktivitás  alatt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helyi  önkormányzat   és  városi  községek működése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Pr="0090182F">
        <w:rPr>
          <w:rFonts w:asciiTheme="majorBidi" w:hAnsiTheme="majorBidi" w:cstheme="majorBidi"/>
          <w:sz w:val="24"/>
          <w:szCs w:val="24"/>
          <w:lang w:val="hu-HU"/>
        </w:rPr>
        <w:t>320-as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</w:t>
      </w:r>
      <w:r w:rsidRPr="0090182F">
        <w:rPr>
          <w:rFonts w:asciiTheme="majorBidi" w:hAnsiTheme="majorBidi" w:cstheme="majorBidi"/>
          <w:b/>
          <w:bCs/>
          <w:sz w:val="24"/>
          <w:szCs w:val="24"/>
          <w:lang w:val="hu-HU"/>
        </w:rPr>
        <w:t>Tűzvédelmi szolgáltatások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87/0-s </w:t>
      </w:r>
      <w:r w:rsidRPr="0090182F">
        <w:rPr>
          <w:rFonts w:asciiTheme="majorBidi" w:hAnsiTheme="majorBidi" w:cstheme="majorBidi"/>
          <w:b/>
          <w:bCs/>
          <w:sz w:val="24"/>
          <w:szCs w:val="24"/>
          <w:lang w:val="hu-HU"/>
        </w:rPr>
        <w:t>pozíciószámon</w:t>
      </w:r>
      <w:r>
        <w:rPr>
          <w:rFonts w:asciiTheme="majorBidi" w:hAnsiTheme="majorBidi" w:cstheme="majorBidi"/>
          <w:sz w:val="24"/>
          <w:szCs w:val="24"/>
          <w:lang w:val="hu-HU"/>
        </w:rPr>
        <w:t>, mint  481000 számú  közgazdasági osztályozás,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leírva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, mint A KORMÁNYON  KÍVÜLI SZERVEZETEK  DOTÁLÁSA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90182F" w:rsidRDefault="0090182F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0182F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felosztási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összeg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200.000,00 dinárt tesz ki. 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eszközök, amelyek odaí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télésre kerülnek a programokra </w:t>
      </w:r>
      <w:r>
        <w:rPr>
          <w:rFonts w:asciiTheme="majorBidi" w:hAnsiTheme="majorBidi" w:cstheme="majorBidi"/>
          <w:sz w:val="24"/>
          <w:szCs w:val="24"/>
          <w:lang w:val="hu-HU"/>
        </w:rPr>
        <w:t>legtovább a fo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lyó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Pr="00466C3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program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használatának törvényessége és hatékonysága és az előző programok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/projektumok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fenntarthatósága: ha korábban használták a költségvetési eszközöket, eleget tettek-e a szerződött kötelezettségüknek (1-20 pont),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eddigi tapasztalat és eredmények: a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 xml:space="preserve">z egyesület a megalapítása óta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pályázott-e vagy valósított-e meg programokat vagy projektumokat, amelyek más forrásokból kerültek finanszírozásra (1-15 pont).  </w:t>
      </w: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 költségszerkezetének összehangoltsága a program</w:t>
      </w:r>
      <w:r w:rsidR="0090182F">
        <w:rPr>
          <w:rFonts w:asciiTheme="majorBidi" w:hAnsiTheme="majorBidi" w:cstheme="majorBidi"/>
          <w:sz w:val="24"/>
          <w:szCs w:val="24"/>
          <w:lang w:val="hu-HU"/>
        </w:rPr>
        <w:t>/projektum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aktivitásokkal (1-15 pont). </w:t>
      </w:r>
    </w:p>
    <w:p w:rsidR="0090182F" w:rsidRDefault="0090182F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0182F" w:rsidRDefault="0090182F" w:rsidP="0090182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6. A KÖTELEZŐ PÁLYÁZATI DOKUMENTÁCIÓ, AMELYET MEG KELL KÜLDENI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0182F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megküldeni az alábbi dokumentációt: </w:t>
      </w:r>
    </w:p>
    <w:p w:rsidR="00916504" w:rsidRDefault="00AF58A2" w:rsidP="00916504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szabályosan kitöltött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jelentkezési űrlapot, amely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tartalmazza: </w:t>
      </w:r>
    </w:p>
    <w:p w:rsidR="00916504" w:rsidRDefault="00AF58A2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</w:t>
      </w:r>
      <w:proofErr w:type="gramStart"/>
      <w:r w:rsidR="00916504">
        <w:rPr>
          <w:rFonts w:asciiTheme="majorBidi" w:hAnsiTheme="majorBidi" w:cstheme="majorBidi"/>
          <w:sz w:val="24"/>
          <w:szCs w:val="24"/>
          <w:lang w:val="hu-HU"/>
        </w:rPr>
        <w:t>a  jelentkezés</w:t>
      </w:r>
      <w:proofErr w:type="gramEnd"/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benyújtójáról,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és benyújtója képviselőjének a nyilatkozatát, amelyek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jelentkezési 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űrlapban kerülnek megjelölésre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 </w:t>
      </w:r>
    </w:p>
    <w:p w:rsidR="00916504" w:rsidRDefault="00916504" w:rsidP="00AF58A2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nincs 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közzétéve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Gazdasági Alanyok Ügynökségének honlapján,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résztvevő alapszabályát.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űrlapja közzétét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elre kerül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 nyilvános pályázat mellett.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AF58A2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>és bélyegzővel) hit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elesített jelentkezési űrlapot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>kísérő</w:t>
      </w:r>
      <w:proofErr w:type="gramEnd"/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pályázat a  tűzvédelem területé</w:t>
      </w:r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  - nem felbontandó” és a program/projektum  benyújtójának  kiemelt nevével, 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postával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ázati dokumentáció letölthető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 honlapjáról (</w:t>
      </w:r>
      <w:hyperlink r:id="rId6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Kiegészít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>ő információért az érdekeltek jelentkezhetnek telefonon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024/655-428-as számra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 vagy elektronikus posta által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</w:t>
      </w:r>
      <w:hyperlink r:id="rId7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  <w:proofErr w:type="gramEnd"/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nyilv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>ános pályázatra a jelentkezések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benyújtásának  határideje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AF58A2" w:rsidP="00AF58A2">
      <w:pPr>
        <w:pStyle w:val="NoSpacing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>PÁLYÁZAT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DOKUMENTÁCIÓ HIÁNYOSSÁGÁNAK </w:t>
      </w:r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KÖVETKEZMÉNYEI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916504" w:rsidRDefault="00AF58A2" w:rsidP="0091650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hiányos jelentkezéseket, </w:t>
      </w:r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>vagy a hiányos vagy nem precízen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>bemutatott  programokat</w:t>
      </w:r>
      <w:proofErr w:type="gramEnd"/>
      <w:r w:rsidR="0091650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916504" w:rsidRPr="00CF06C2" w:rsidRDefault="00916504" w:rsidP="00916504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 w:rsidR="00AF58A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jelentkezéseket nem vitatjuk meg.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916504" w:rsidRDefault="00AF58A2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 költségeit (emberi erőforrások) az egyesület tagjainak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egyedül akkor ismerjük el, ha olyan személyről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van szó, aki </w:t>
      </w:r>
      <w:proofErr w:type="gramStart"/>
      <w:r w:rsidR="00916504">
        <w:rPr>
          <w:rFonts w:asciiTheme="majorBidi" w:hAnsiTheme="majorBidi" w:cstheme="majorBidi"/>
          <w:sz w:val="24"/>
          <w:szCs w:val="24"/>
          <w:lang w:val="hu-HU"/>
        </w:rPr>
        <w:t>munkaviszonyban  va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az egyesületben,  és ha  az önkéntes tűzoltók   ügyeletéről van szó, </w:t>
      </w:r>
    </w:p>
    <w:p w:rsidR="00916504" w:rsidRPr="00CF06C2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program/projektum résztvevőinek az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 utazási költségeit legfeljebb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jóváhagyott   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916504" w:rsidRDefault="00AF58A2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és étkezési költségeket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vendéglő  </w:t>
      </w:r>
      <w:r w:rsidR="00916504">
        <w:rPr>
          <w:rFonts w:asciiTheme="majorBidi" w:hAnsiTheme="majorBidi" w:cstheme="majorBidi"/>
          <w:sz w:val="24"/>
          <w:szCs w:val="24"/>
          <w:lang w:val="hu-HU"/>
        </w:rPr>
        <w:t>előadóknak</w:t>
      </w:r>
      <w:proofErr w:type="gramEnd"/>
      <w:r w:rsidR="00916504">
        <w:rPr>
          <w:rFonts w:asciiTheme="majorBidi" w:hAnsiTheme="majorBidi" w:cstheme="majorBidi"/>
          <w:sz w:val="24"/>
          <w:szCs w:val="24"/>
          <w:lang w:val="hu-HU"/>
        </w:rPr>
        <w:t xml:space="preserve">, akik részt  vesznek a  programban vagy projektumban a jóváhagyott eszközök legfeljebb 30%-áig ismerjük el,  </w:t>
      </w:r>
    </w:p>
    <w:p w:rsidR="00916504" w:rsidRDefault="00916504" w:rsidP="00916504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916504" w:rsidRDefault="00916504" w:rsidP="0091650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916504" w:rsidRDefault="00916504" w:rsidP="0091650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916504" w:rsidRDefault="00916504" w:rsidP="0091650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k az elektromos energia, gáz,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fűtés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kommunális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 által megvalósított közérdekű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serkentő  eszközeinek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16504" w:rsidRDefault="00916504" w:rsidP="00AF58A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</w:t>
      </w:r>
      <w:r w:rsidR="00AF58A2">
        <w:rPr>
          <w:rFonts w:asciiTheme="majorBidi" w:hAnsiTheme="majorBidi" w:cstheme="majorBidi"/>
          <w:sz w:val="24"/>
          <w:szCs w:val="24"/>
          <w:lang w:val="hu-HU"/>
        </w:rPr>
        <w:t xml:space="preserve">tum kiválasztásáról, amellyel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serkentik  az eszközöket a feltüntetett  pályázatban, közzétételre kerül Zenta község hivatalos honlapján,  Zenta község hirdetőtábláján és  az e – Közigazgatás  portálján.  </w:t>
      </w: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16504" w:rsidRDefault="00916504" w:rsidP="0091650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16504" w:rsidRPr="007654E5" w:rsidRDefault="00916504" w:rsidP="00916504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742D8A" w:rsidRPr="00916504" w:rsidRDefault="00916504" w:rsidP="00B6070F">
      <w:pPr>
        <w:pStyle w:val="NoSpacing"/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sectPr w:rsidR="00742D8A" w:rsidRPr="00916504" w:rsidSect="0091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504"/>
    <w:rsid w:val="00605DEE"/>
    <w:rsid w:val="008314D1"/>
    <w:rsid w:val="0087600A"/>
    <w:rsid w:val="0090182F"/>
    <w:rsid w:val="00916504"/>
    <w:rsid w:val="00A247ED"/>
    <w:rsid w:val="00AF58A2"/>
    <w:rsid w:val="00B15364"/>
    <w:rsid w:val="00B253F6"/>
    <w:rsid w:val="00B6070F"/>
    <w:rsid w:val="00BB5DC6"/>
    <w:rsid w:val="00C2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5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65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cp:lastPrinted>2022-11-03T07:25:00Z</cp:lastPrinted>
  <dcterms:created xsi:type="dcterms:W3CDTF">2022-11-02T07:38:00Z</dcterms:created>
  <dcterms:modified xsi:type="dcterms:W3CDTF">2022-11-03T07:25:00Z</dcterms:modified>
</cp:coreProperties>
</file>