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CA" w:rsidRPr="00B805AB" w:rsidRDefault="0064507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805AB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076" w:rsidRPr="00B805AB" w:rsidRDefault="00645076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645076" w:rsidRPr="00B805AB" w:rsidRDefault="00645076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645076" w:rsidRPr="00B805AB" w:rsidRDefault="00645076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602980" w:rsidRPr="00B81DC4" w:rsidRDefault="0016044D" w:rsidP="006029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645076" w:rsidRPr="00B805A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turizmusfejlesztés terén</w:t>
      </w:r>
      <w:r w:rsidR="00645076" w:rsidRPr="00B805A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</w:t>
      </w:r>
      <w:r w:rsidR="00602980">
        <w:rPr>
          <w:rFonts w:asciiTheme="majorBidi" w:hAnsiTheme="majorBidi" w:cstheme="majorBidi"/>
          <w:sz w:val="24"/>
          <w:szCs w:val="24"/>
          <w:lang w:val="hu-HU"/>
        </w:rPr>
        <w:t xml:space="preserve"> vagy</w:t>
      </w:r>
      <w:r w:rsidR="00645076" w:rsidRPr="00B805A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2980" w:rsidRPr="00B81DC4">
        <w:rPr>
          <w:rFonts w:asciiTheme="majorBidi" w:hAnsiTheme="majorBidi" w:cstheme="majorBidi"/>
          <w:sz w:val="24"/>
          <w:szCs w:val="24"/>
          <w:lang w:val="hu-HU"/>
        </w:rPr>
        <w:t xml:space="preserve">azok finanszírozásához </w:t>
      </w:r>
      <w:r w:rsidR="00602980">
        <w:rPr>
          <w:rFonts w:asciiTheme="majorBidi" w:hAnsiTheme="majorBidi" w:cstheme="majorBidi"/>
          <w:sz w:val="24"/>
          <w:szCs w:val="24"/>
          <w:lang w:val="hu-HU"/>
        </w:rPr>
        <w:t xml:space="preserve">szükséges </w:t>
      </w:r>
      <w:r w:rsidR="00602980" w:rsidRPr="00B81DC4">
        <w:rPr>
          <w:rFonts w:asciiTheme="majorBidi" w:hAnsiTheme="majorBidi" w:cstheme="majorBidi"/>
          <w:sz w:val="24"/>
          <w:szCs w:val="24"/>
          <w:lang w:val="hu-HU"/>
        </w:rPr>
        <w:t>hiányzó források biztosítására irányuló nyilvános pályázat lefolytatásáért felelős pályázati bizottság</w:t>
      </w:r>
    </w:p>
    <w:p w:rsidR="00645076" w:rsidRPr="00B805AB" w:rsidRDefault="00645076" w:rsidP="006029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2F1D23" w:rsidRPr="00B805AB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001665981 2024 08858 002 000 000 001</w:t>
      </w:r>
    </w:p>
    <w:p w:rsidR="00645076" w:rsidRPr="00B805AB" w:rsidRDefault="002F1D23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Kelt: 2024.11.15.</w:t>
      </w:r>
      <w:r w:rsidR="00EF4A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45076" w:rsidRPr="00B805AB" w:rsidRDefault="002F1D23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Z e n t a</w:t>
      </w:r>
    </w:p>
    <w:p w:rsidR="00645076" w:rsidRPr="00B805AB" w:rsidRDefault="00645076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877CE4" w:rsidRPr="00B805AB" w:rsidRDefault="00877CE4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2F1D23" w:rsidRPr="00B805AB" w:rsidRDefault="002F1D23" w:rsidP="00E95F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17. szakasza alapján a </w:t>
      </w:r>
      <w:r w:rsidRPr="00B805AB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 terén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</w:t>
      </w:r>
      <w:r w:rsidR="00E95F81">
        <w:rPr>
          <w:rFonts w:asciiTheme="majorBidi" w:hAnsiTheme="majorBidi" w:cstheme="majorBidi"/>
          <w:sz w:val="24"/>
          <w:szCs w:val="24"/>
          <w:lang w:val="hu-HU"/>
        </w:rPr>
        <w:t xml:space="preserve">e projektek támogatására vagy azok 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finanszírozásához szükséges hiányzó források biztosítására ki</w:t>
      </w:r>
      <w:r w:rsidR="00E95F81">
        <w:rPr>
          <w:rFonts w:asciiTheme="majorBidi" w:hAnsiTheme="majorBidi" w:cstheme="majorBidi"/>
          <w:sz w:val="24"/>
          <w:szCs w:val="24"/>
          <w:lang w:val="hu-HU"/>
        </w:rPr>
        <w:t>írt nyilvános pályázat lefolyta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tásáért felelős pályázati bizottság a 2024. november 15-</w:t>
      </w:r>
      <w:r w:rsidR="00AF3787">
        <w:rPr>
          <w:rFonts w:asciiTheme="majorBidi" w:hAnsiTheme="majorBidi" w:cstheme="majorBidi"/>
          <w:sz w:val="24"/>
          <w:szCs w:val="24"/>
          <w:lang w:val="hu-HU"/>
        </w:rPr>
        <w:t xml:space="preserve">én tartott ülésén meghatározta </w:t>
      </w:r>
    </w:p>
    <w:p w:rsidR="00645076" w:rsidRPr="00B805AB" w:rsidRDefault="00645076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9E0039" w:rsidRPr="00B805AB" w:rsidRDefault="009E0039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2F1D23" w:rsidRPr="00B805AB" w:rsidRDefault="002F1D23" w:rsidP="00E95F81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azon programok értékelési és rangsorolási listáját, amelyeket a TURIZMUSFEJLESZTÉS terén egyesületek által megvalósított közérdekű programok illetve projektek támogatására vagy </w:t>
      </w:r>
      <w:r w:rsidR="00E95F8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AZOK</w:t>
      </w:r>
      <w:r w:rsidRPr="00B805AB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finanszírozásához szükséges hiányzó források biztosítására kiírt nyilvános pályázat keretében nyújtottak be</w:t>
      </w:r>
    </w:p>
    <w:p w:rsidR="00FB2025" w:rsidRPr="00B805AB" w:rsidRDefault="00FB2025" w:rsidP="00FB2025">
      <w:pPr>
        <w:spacing w:after="0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</w:p>
    <w:p w:rsidR="00FB2025" w:rsidRPr="00B805AB" w:rsidRDefault="00FB2025" w:rsidP="00FB2025">
      <w:pPr>
        <w:spacing w:after="0"/>
        <w:jc w:val="both"/>
        <w:rPr>
          <w:rFonts w:asciiTheme="majorBidi" w:hAnsiTheme="majorBidi" w:cstheme="majorBidi"/>
          <w:caps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caps/>
          <w:sz w:val="24"/>
          <w:szCs w:val="24"/>
          <w:lang w:val="hu-HU"/>
        </w:rPr>
        <w:t>ÉRTÉKELÉSI ÉS RANGSOROLÁSI LISTA:</w:t>
      </w:r>
    </w:p>
    <w:p w:rsidR="00FB2025" w:rsidRPr="00B805AB" w:rsidRDefault="00FB2025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420"/>
        <w:gridCol w:w="1887"/>
        <w:gridCol w:w="1653"/>
        <w:gridCol w:w="1970"/>
        <w:gridCol w:w="1266"/>
      </w:tblGrid>
      <w:tr w:rsidR="00FB2025" w:rsidRPr="00B805AB" w:rsidTr="00C45B9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benyújtás dátuma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FB202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értéke</w:t>
            </w: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(</w:t>
            </w: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javasolt támogatási összeg</w:t>
            </w: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805A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FB2025" w:rsidRPr="00B805AB" w:rsidTr="00C45B9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B805AB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2024.06.14.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Уружења грађана „Интеркултурални Центар“</w:t>
            </w: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Interkulturális Központ Zentai Helyi Szervezet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„ Ismerjük meg Japánt“</w:t>
            </w: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 xml:space="preserve">Upoznajmo 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Japan</w:t>
            </w:r>
          </w:p>
          <w:p w:rsidR="00FB2025" w:rsidRPr="00B805AB" w:rsidRDefault="00FB2025" w:rsidP="00FB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FB2025" w:rsidRPr="00B805AB" w:rsidTr="00C45B9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B805AB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2024.05.24.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Удружење пензионера – Трећа генерација</w:t>
            </w: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Harmadik Generáció Nyugddíjas Egyesület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Туристички обилазак места у Војводини</w:t>
            </w: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Vajdasági települések turisztikai körútja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FB2025" w:rsidRPr="00B805AB" w:rsidTr="00C45B9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B805AB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2024.05.24.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Савез инвалида рада Војводине Општинска организација Сента </w:t>
            </w: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Vajdas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á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gi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Munkarokkantak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Sz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ö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vets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ö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zs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Munkarokkantak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Egyes</w:t>
            </w:r>
            <w:r w:rsidRPr="00B805AB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ü</w:t>
            </w:r>
            <w:r w:rsidRPr="00B805AB">
              <w:rPr>
                <w:rFonts w:asciiTheme="majorBidi" w:hAnsiTheme="majorBidi" w:cstheme="majorBidi"/>
                <w:sz w:val="24"/>
                <w:szCs w:val="24"/>
              </w:rPr>
              <w:t>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Туризам</w:t>
            </w: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Turizmus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FB2025" w:rsidRPr="00B805AB" w:rsidTr="00C45B9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B805AB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2024.05.29.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Удружење грађана “ Сенћанска чарда“</w:t>
            </w: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Polgárok Egyesülete Zentai Csárda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Дани Чарде, 2024</w:t>
            </w: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Csárda-napok 2024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2025" w:rsidRPr="00B805AB" w:rsidTr="00C45B9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FB2025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025" w:rsidRPr="00B805AB" w:rsidRDefault="00B805AB" w:rsidP="00C45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2024.05.30.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Балонарски клуб „Сента-Zenta“</w:t>
            </w: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Hőlégballon Klub „Senta-Zenta”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025" w:rsidRPr="00B805AB" w:rsidRDefault="00FB2025" w:rsidP="00FB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XVII Festival</w:t>
            </w:r>
            <w:r w:rsidR="00295F33" w:rsidRPr="00B805AB">
              <w:rPr>
                <w:rFonts w:asciiTheme="majorBidi" w:hAnsiTheme="majorBidi" w:cstheme="majorBidi"/>
                <w:sz w:val="24"/>
                <w:szCs w:val="24"/>
              </w:rPr>
              <w:t xml:space="preserve"> i takmičenje u vožnji </w:t>
            </w:r>
            <w:r w:rsidR="00295F33" w:rsidRPr="00B805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balonima </w:t>
            </w:r>
          </w:p>
          <w:p w:rsidR="00FB2025" w:rsidRPr="00B805AB" w:rsidRDefault="00FB2025" w:rsidP="00FB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XVII. Hőlégballon fesztivál és verseny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1.400.000,00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2025" w:rsidRPr="00B805AB" w:rsidRDefault="00FB2025" w:rsidP="00C45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5AB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FB2025" w:rsidRPr="00B805AB" w:rsidRDefault="00FB2025" w:rsidP="00645076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Pr="00B805AB" w:rsidRDefault="00295F33" w:rsidP="00B85C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Jelen pályázat megvalósításához biztosított eszközöknek megfelelően, a 4. sorszámtól</w:t>
      </w:r>
      <w:r w:rsidR="009677DB">
        <w:rPr>
          <w:rFonts w:asciiTheme="majorBidi" w:hAnsiTheme="majorBidi" w:cstheme="majorBidi"/>
          <w:sz w:val="24"/>
          <w:szCs w:val="24"/>
          <w:lang w:val="hu-HU"/>
        </w:rPr>
        <w:t xml:space="preserve"> az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677DB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. sorszámig terjedő egyesületek programjainak társfinanszírozását javasolják.</w:t>
      </w:r>
    </w:p>
    <w:p w:rsidR="00295F33" w:rsidRPr="00B805AB" w:rsidRDefault="00295F33" w:rsidP="00FB71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77DB" w:rsidRDefault="009677DB" w:rsidP="009677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2024. évi költségvetéséről szóló rendelet</w:t>
      </w:r>
      <w:r w:rsidR="00DC2AA5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15/2023. és 10/2024. sz.) által előlátott költségvetési eszközök meghatározottságának illetve korlátozottságának következtében, az eszközök odaítélését csupán azon egyesületek számára javasolják, amelyek </w:t>
      </w:r>
      <w:r w:rsidRPr="00B81DC4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szükséges </w:t>
      </w:r>
      <w:r w:rsidRPr="00B81DC4">
        <w:rPr>
          <w:rFonts w:asciiTheme="majorBidi" w:hAnsiTheme="majorBidi" w:cstheme="majorBidi"/>
          <w:sz w:val="24"/>
          <w:szCs w:val="24"/>
          <w:lang w:val="hu-HU"/>
        </w:rPr>
        <w:t>hiányzó források biztosítására szolgáló eszközök odaítéléséről és ellenőrzéséről szóló rendelet (Zenta Község Hivatalos Lapja, 31/2021. sz.)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7. szakaszának kritériumai alapján a legtöbb pontot kapták.</w:t>
      </w:r>
    </w:p>
    <w:p w:rsidR="00295F33" w:rsidRPr="00B805AB" w:rsidRDefault="00295F33" w:rsidP="00FB71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Pr="00B805AB" w:rsidRDefault="00295F33" w:rsidP="00FB71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megtekinteni a benyújtott jelentkezéseket és a mellékelt dokumentumokat a rangsorolási lista megjelenésétől számított három munkanapon belül.</w:t>
      </w:r>
    </w:p>
    <w:p w:rsidR="00295F33" w:rsidRPr="00B805AB" w:rsidRDefault="00295F33" w:rsidP="00FB71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Pr="00B805AB" w:rsidRDefault="00295F33" w:rsidP="00FB71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295F33" w:rsidRPr="00B805AB" w:rsidRDefault="00295F33" w:rsidP="00FB717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B0CC5" w:rsidRDefault="008B0CC5" w:rsidP="00BD01D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fellebbezést ajánlott postai küldeményként illetve közvetlenül, a helyi önkormányzati egység iktatóján keresztül lehet benyújtani Zenta község polgármesterének Zentán (24400) a Fő tér 1-es szám alatt, az alábbi megjelöléssel: „FELLEBBEZÉS </w:t>
      </w:r>
      <w:r w:rsidR="00BD01DE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937AB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 terén</w:t>
      </w:r>
      <w:r w:rsidRPr="00937ABC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 programok illetve projektek finanszírozásához szükséges hiányzó források biztosítására kiírt nyilvános pályázat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kapcsán”.</w:t>
      </w:r>
    </w:p>
    <w:p w:rsidR="00295F33" w:rsidRPr="00B805AB" w:rsidRDefault="00295F33" w:rsidP="00295F33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Pr="00B805AB" w:rsidRDefault="00295F33" w:rsidP="00295F33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295F33" w:rsidRPr="00B805AB" w:rsidRDefault="00295F33" w:rsidP="00295F33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Pr="00B805AB" w:rsidRDefault="00295F33" w:rsidP="00295F33">
      <w:pPr>
        <w:spacing w:after="0"/>
        <w:rPr>
          <w:rFonts w:asciiTheme="majorBidi" w:hAnsiTheme="majorBidi" w:cstheme="majorBidi"/>
          <w:sz w:val="24"/>
          <w:szCs w:val="24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</w:t>
      </w:r>
      <w:r w:rsidR="00BA6FE0" w:rsidRPr="00B805AB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_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___________________________</w:t>
      </w:r>
    </w:p>
    <w:p w:rsidR="00295F33" w:rsidRPr="00B805AB" w:rsidRDefault="00295F33" w:rsidP="00BA6FE0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 (</w:t>
      </w:r>
      <w:r w:rsidR="00BA6FE0" w:rsidRPr="00B805AB">
        <w:rPr>
          <w:rFonts w:asciiTheme="majorBidi" w:hAnsiTheme="majorBidi" w:cstheme="majorBidi"/>
          <w:sz w:val="24"/>
          <w:szCs w:val="24"/>
          <w:lang w:val="hu-HU"/>
        </w:rPr>
        <w:t>Laskovity Kornél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295F33" w:rsidRPr="00B805AB" w:rsidRDefault="00295F33" w:rsidP="00295F33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Default="00BA6FE0" w:rsidP="00F8786D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          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  <w:t xml:space="preserve"> A bizottság tagjai </w:t>
      </w:r>
    </w:p>
    <w:p w:rsidR="00F8786D" w:rsidRPr="00B805AB" w:rsidRDefault="00F8786D" w:rsidP="00F8786D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Pr="00B805AB" w:rsidRDefault="00295F33" w:rsidP="00295F33">
      <w:pPr>
        <w:spacing w:after="0"/>
        <w:ind w:left="4320"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295F33" w:rsidRPr="00B805AB" w:rsidRDefault="00295F33" w:rsidP="00295F33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   </w:t>
      </w:r>
      <w:r w:rsidR="00BA6FE0" w:rsidRPr="00B805AB">
        <w:rPr>
          <w:rFonts w:asciiTheme="majorBidi" w:hAnsiTheme="majorBidi" w:cstheme="majorBidi"/>
          <w:sz w:val="24"/>
          <w:szCs w:val="24"/>
          <w:lang w:val="hu-HU"/>
        </w:rPr>
        <w:t>(Barna Ágota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295F33" w:rsidRPr="00B805AB" w:rsidRDefault="00295F33" w:rsidP="00295F33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95F33" w:rsidRPr="00B805AB" w:rsidRDefault="00295F33" w:rsidP="00295F3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295F33" w:rsidRPr="00B805AB" w:rsidRDefault="00295F33" w:rsidP="00F8786D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         (</w:t>
      </w:r>
      <w:r w:rsidR="00BA6FE0" w:rsidRPr="00B805AB">
        <w:rPr>
          <w:rFonts w:asciiTheme="majorBidi" w:hAnsiTheme="majorBidi" w:cstheme="majorBidi"/>
          <w:sz w:val="24"/>
          <w:szCs w:val="24"/>
          <w:lang w:val="hu-HU"/>
        </w:rPr>
        <w:t>Juhász Lassú Kornélia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)</w:t>
      </w:r>
    </w:p>
    <w:sectPr w:rsidR="00295F33" w:rsidRPr="00B805AB" w:rsidSect="002B1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5076"/>
    <w:rsid w:val="0016044D"/>
    <w:rsid w:val="00251D1E"/>
    <w:rsid w:val="00295F33"/>
    <w:rsid w:val="002B1DCA"/>
    <w:rsid w:val="002F1D23"/>
    <w:rsid w:val="0041307C"/>
    <w:rsid w:val="00602980"/>
    <w:rsid w:val="00645076"/>
    <w:rsid w:val="00712981"/>
    <w:rsid w:val="00877CE4"/>
    <w:rsid w:val="008B0CC5"/>
    <w:rsid w:val="009677DB"/>
    <w:rsid w:val="009E0039"/>
    <w:rsid w:val="00AC191A"/>
    <w:rsid w:val="00AF3787"/>
    <w:rsid w:val="00B805AB"/>
    <w:rsid w:val="00B85C98"/>
    <w:rsid w:val="00BA6FE0"/>
    <w:rsid w:val="00BD01DE"/>
    <w:rsid w:val="00DC2AA5"/>
    <w:rsid w:val="00E95F81"/>
    <w:rsid w:val="00EF4A0B"/>
    <w:rsid w:val="00F35AD4"/>
    <w:rsid w:val="00F72EE1"/>
    <w:rsid w:val="00F8786D"/>
    <w:rsid w:val="00FB2025"/>
    <w:rsid w:val="00FB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22</cp:revision>
  <dcterms:created xsi:type="dcterms:W3CDTF">2024-12-18T10:46:00Z</dcterms:created>
  <dcterms:modified xsi:type="dcterms:W3CDTF">2025-01-08T07:54:00Z</dcterms:modified>
</cp:coreProperties>
</file>