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1F" w:rsidRPr="00F475E9" w:rsidRDefault="00883E1F" w:rsidP="00883E1F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457200" cy="6858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E1F" w:rsidRPr="00F475E9" w:rsidRDefault="00883E1F" w:rsidP="00883E1F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lang w:val="hu-HU"/>
        </w:rPr>
        <w:t>SZERB KÖZTÁRSASÁG</w:t>
      </w:r>
    </w:p>
    <w:p w:rsidR="00883E1F" w:rsidRPr="00F475E9" w:rsidRDefault="00883E1F" w:rsidP="00883E1F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lang w:val="hu-HU"/>
        </w:rPr>
        <w:t>VAJDASÁG AUTONÓM TARTOMÁNY</w:t>
      </w:r>
    </w:p>
    <w:p w:rsidR="00883E1F" w:rsidRPr="00F475E9" w:rsidRDefault="00883E1F" w:rsidP="00883E1F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lang w:val="hu-HU"/>
        </w:rPr>
        <w:t>ZENTA KÖZSÉG</w:t>
      </w:r>
    </w:p>
    <w:p w:rsidR="00883E1F" w:rsidRPr="00F475E9" w:rsidRDefault="00883E1F" w:rsidP="00883E1F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lang w:val="hu-HU"/>
        </w:rPr>
        <w:t>ZENTA KÖZSÉG POLGÁRMESTERE</w:t>
      </w:r>
    </w:p>
    <w:p w:rsidR="00883E1F" w:rsidRPr="00F475E9" w:rsidRDefault="00883E1F" w:rsidP="00883E1F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lang w:val="hu-HU"/>
        </w:rPr>
        <w:t xml:space="preserve">Szám: 000084183 2025 08858 002 000 </w:t>
      </w:r>
      <w:proofErr w:type="spellStart"/>
      <w:r w:rsidRPr="00F475E9">
        <w:rPr>
          <w:rFonts w:ascii="Times New Roman" w:hAnsi="Times New Roman" w:cs="Times New Roman"/>
          <w:lang w:val="hu-HU"/>
        </w:rPr>
        <w:t>000</w:t>
      </w:r>
      <w:proofErr w:type="spellEnd"/>
      <w:r w:rsidRPr="00F475E9">
        <w:rPr>
          <w:rFonts w:ascii="Times New Roman" w:hAnsi="Times New Roman" w:cs="Times New Roman"/>
          <w:lang w:val="hu-HU"/>
        </w:rPr>
        <w:t xml:space="preserve"> 001</w:t>
      </w:r>
    </w:p>
    <w:p w:rsidR="00883E1F" w:rsidRPr="00F475E9" w:rsidRDefault="00883E1F" w:rsidP="00883E1F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lang w:val="hu-HU"/>
        </w:rPr>
        <w:t xml:space="preserve">Kelt: </w:t>
      </w:r>
      <w:r>
        <w:rPr>
          <w:rFonts w:ascii="Times New Roman" w:hAnsi="Times New Roman" w:cs="Times New Roman"/>
          <w:lang w:val="hu-HU"/>
        </w:rPr>
        <w:t>2025. március 14-én</w:t>
      </w:r>
    </w:p>
    <w:p w:rsidR="00883E1F" w:rsidRPr="00F475E9" w:rsidRDefault="00883E1F" w:rsidP="00883E1F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lang w:val="hu-HU"/>
        </w:rPr>
        <w:t xml:space="preserve">Z e n t </w:t>
      </w:r>
      <w:proofErr w:type="gramStart"/>
      <w:r w:rsidRPr="00F475E9">
        <w:rPr>
          <w:rFonts w:ascii="Times New Roman" w:hAnsi="Times New Roman" w:cs="Times New Roman"/>
          <w:lang w:val="hu-HU"/>
        </w:rPr>
        <w:t>a</w:t>
      </w:r>
      <w:proofErr w:type="gramEnd"/>
    </w:p>
    <w:p w:rsidR="00883E1F" w:rsidRPr="00F475E9" w:rsidRDefault="00883E1F" w:rsidP="00883E1F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883E1F" w:rsidRPr="00F475E9" w:rsidRDefault="00883E1F" w:rsidP="00883E1F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lang w:val="hu-HU"/>
        </w:rPr>
        <w:t xml:space="preserve">Az egyesületek által megvalósított közérdekű programok támogatására vagy azok finanszírozásához szükséges hiányzó források biztosítására szolgáló eszközök odaítéléséről és ellenőrzéséről szóló rendelet (Zenta Község Hivatalos Lapja, 31/2021. sz.) 19. szakasza, Zenta község alapszabálya (Zenta Község Hivatalos Lapja, 4/2019. sz.) 61. szakasza 1. bekezdésének 33) pontja, a </w:t>
      </w:r>
      <w:r w:rsidRPr="003357CC">
        <w:rPr>
          <w:rFonts w:ascii="Times New Roman" w:hAnsi="Times New Roman" w:cs="Times New Roman"/>
          <w:shd w:val="clear" w:color="auto" w:fill="FFFFFF"/>
          <w:lang w:val="sr-Cyrl-CS"/>
        </w:rPr>
        <w:t>000051649 2025 08858 002 000 000</w:t>
      </w:r>
      <w:r>
        <w:rPr>
          <w:rFonts w:ascii="Times New Roman" w:hAnsi="Times New Roman" w:cs="Times New Roman"/>
          <w:shd w:val="clear" w:color="auto" w:fill="FFFFFF"/>
          <w:lang w:val="sr-Cyrl-CS"/>
        </w:rPr>
        <w:t> </w:t>
      </w:r>
      <w:r w:rsidRPr="003357CC">
        <w:rPr>
          <w:rFonts w:ascii="Times New Roman" w:hAnsi="Times New Roman" w:cs="Times New Roman"/>
          <w:shd w:val="clear" w:color="auto" w:fill="FFFFFF"/>
          <w:lang w:val="sr-Cyrl-CS"/>
        </w:rPr>
        <w:t>001</w:t>
      </w:r>
      <w:r>
        <w:rPr>
          <w:rFonts w:ascii="Times New Roman" w:hAnsi="Times New Roman" w:cs="Times New Roman"/>
          <w:shd w:val="clear" w:color="auto" w:fill="FFFFFF"/>
          <w:lang w:val="sr-Cyrl-CS"/>
        </w:rPr>
        <w:t xml:space="preserve"> </w:t>
      </w:r>
      <w:r w:rsidRPr="00F475E9">
        <w:rPr>
          <w:rFonts w:ascii="Times New Roman" w:hAnsi="Times New Roman" w:cs="Times New Roman"/>
          <w:lang w:val="hu-HU"/>
        </w:rPr>
        <w:t>számú</w:t>
      </w:r>
      <w:r w:rsidR="00CA49A9">
        <w:rPr>
          <w:rFonts w:ascii="Times New Roman" w:hAnsi="Times New Roman" w:cs="Times New Roman"/>
          <w:lang w:val="hu-HU"/>
        </w:rPr>
        <w:t xml:space="preserve">, 2025. január </w:t>
      </w:r>
      <w:proofErr w:type="gramStart"/>
      <w:r w:rsidR="00CA49A9">
        <w:rPr>
          <w:rFonts w:ascii="Times New Roman" w:hAnsi="Times New Roman" w:cs="Times New Roman"/>
          <w:lang w:val="hu-HU"/>
        </w:rPr>
        <w:t>17</w:t>
      </w:r>
      <w:r w:rsidR="003E03AB">
        <w:rPr>
          <w:rFonts w:ascii="Times New Roman" w:hAnsi="Times New Roman" w:cs="Times New Roman"/>
          <w:lang w:val="hu-HU"/>
        </w:rPr>
        <w:t xml:space="preserve">-i </w:t>
      </w:r>
      <w:r>
        <w:rPr>
          <w:rFonts w:ascii="Times New Roman" w:hAnsi="Times New Roman" w:cs="Times New Roman"/>
          <w:lang w:val="hu-HU"/>
        </w:rPr>
        <w:t>keltezésű</w:t>
      </w:r>
      <w:proofErr w:type="gramEnd"/>
      <w:r w:rsidRPr="00F475E9">
        <w:rPr>
          <w:rFonts w:ascii="Times New Roman" w:hAnsi="Times New Roman" w:cs="Times New Roman"/>
          <w:lang w:val="hu-HU"/>
        </w:rPr>
        <w:t xml:space="preserve"> nyilvános pályázat keretében megállapított eszköztámogatásban részesülő programok kiválasztásáról szóló rendelet és a Zenta község 202</w:t>
      </w:r>
      <w:r>
        <w:rPr>
          <w:rFonts w:ascii="Times New Roman" w:hAnsi="Times New Roman" w:cs="Times New Roman"/>
          <w:lang w:val="hu-HU"/>
        </w:rPr>
        <w:t>5</w:t>
      </w:r>
      <w:r w:rsidRPr="00F475E9">
        <w:rPr>
          <w:rFonts w:ascii="Times New Roman" w:hAnsi="Times New Roman" w:cs="Times New Roman"/>
          <w:lang w:val="hu-HU"/>
        </w:rPr>
        <w:t xml:space="preserve">. évi költségvetéséről szóló rendelet (Zenta Község Hivatalos Lapja, </w:t>
      </w:r>
      <w:r>
        <w:rPr>
          <w:rFonts w:ascii="Times New Roman" w:hAnsi="Times New Roman" w:cs="Times New Roman"/>
          <w:lang w:val="hu-HU"/>
        </w:rPr>
        <w:t>13/2024</w:t>
      </w:r>
      <w:r w:rsidRPr="00F475E9">
        <w:rPr>
          <w:rFonts w:ascii="Times New Roman" w:hAnsi="Times New Roman" w:cs="Times New Roman"/>
          <w:lang w:val="hu-HU"/>
        </w:rPr>
        <w:t>. sz.) alapján Zenta község polgármestere meghozta az alábbi</w:t>
      </w:r>
    </w:p>
    <w:p w:rsidR="00883E1F" w:rsidRPr="00F475E9" w:rsidRDefault="00883E1F" w:rsidP="00883E1F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883E1F" w:rsidRPr="00F475E9" w:rsidRDefault="00883E1F" w:rsidP="00883E1F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883E1F" w:rsidRPr="00F475E9" w:rsidRDefault="00883E1F" w:rsidP="00883E1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  <w:r w:rsidRPr="00F475E9">
        <w:rPr>
          <w:rFonts w:ascii="Times New Roman" w:hAnsi="Times New Roman" w:cs="Times New Roman"/>
          <w:b/>
          <w:bCs/>
          <w:lang w:val="hu-HU"/>
        </w:rPr>
        <w:t>VÉGZÉST ESZKÖZÖK ODAÍTÉLÉSÉRŐL</w:t>
      </w:r>
    </w:p>
    <w:p w:rsidR="00883E1F" w:rsidRPr="00F475E9" w:rsidRDefault="00883E1F" w:rsidP="00883E1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hu-HU"/>
        </w:rPr>
      </w:pPr>
    </w:p>
    <w:p w:rsidR="00883E1F" w:rsidRDefault="00883E1F" w:rsidP="003E03AB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lang w:val="hu-HU"/>
        </w:rPr>
        <w:t xml:space="preserve">1. </w:t>
      </w:r>
      <w:proofErr w:type="gramStart"/>
      <w:r w:rsidRPr="00F475E9">
        <w:rPr>
          <w:rFonts w:ascii="Times New Roman" w:hAnsi="Times New Roman" w:cs="Times New Roman"/>
          <w:lang w:val="hu-HU"/>
        </w:rPr>
        <w:t xml:space="preserve">Zenta község költségvetéséből, </w:t>
      </w:r>
      <w:r w:rsidR="003E03AB">
        <w:rPr>
          <w:rFonts w:asciiTheme="majorBidi" w:hAnsiTheme="majorBidi" w:cstheme="majorBidi"/>
          <w:lang w:val="hu-HU"/>
        </w:rPr>
        <w:t>a bérleti díj és</w:t>
      </w:r>
      <w:r w:rsidR="003E03AB" w:rsidRPr="00BC312F">
        <w:rPr>
          <w:rFonts w:asciiTheme="majorBidi" w:hAnsiTheme="majorBidi" w:cstheme="majorBidi"/>
          <w:lang w:val="hu-HU"/>
        </w:rPr>
        <w:t xml:space="preserve"> egyéb állandó költségek </w:t>
      </w:r>
      <w:r w:rsidR="003E03AB">
        <w:rPr>
          <w:rFonts w:asciiTheme="majorBidi" w:hAnsiTheme="majorBidi" w:cstheme="majorBidi"/>
          <w:lang w:val="hu-HU"/>
        </w:rPr>
        <w:t xml:space="preserve">fedezése érdekében </w:t>
      </w:r>
      <w:r w:rsidR="003E03AB" w:rsidRPr="00BC312F">
        <w:rPr>
          <w:rFonts w:asciiTheme="majorBidi" w:hAnsiTheme="majorBidi" w:cstheme="majorBidi"/>
          <w:lang w:val="hu-HU"/>
        </w:rPr>
        <w:t>egyesület</w:t>
      </w:r>
      <w:r w:rsidR="003E03AB">
        <w:rPr>
          <w:rFonts w:asciiTheme="majorBidi" w:hAnsiTheme="majorBidi" w:cstheme="majorBidi"/>
          <w:lang w:val="hu-HU"/>
        </w:rPr>
        <w:t>ek által megvalósított éves programok egy részének</w:t>
      </w:r>
      <w:r w:rsidR="003E03AB" w:rsidRPr="00BC312F">
        <w:rPr>
          <w:rFonts w:asciiTheme="majorBidi" w:hAnsiTheme="majorBidi" w:cstheme="majorBidi"/>
          <w:lang w:val="hu-HU"/>
        </w:rPr>
        <w:t xml:space="preserve"> finanszí</w:t>
      </w:r>
      <w:r w:rsidR="003E03AB">
        <w:rPr>
          <w:rFonts w:asciiTheme="majorBidi" w:hAnsiTheme="majorBidi" w:cstheme="majorBidi"/>
          <w:lang w:val="hu-HU"/>
        </w:rPr>
        <w:t>r</w:t>
      </w:r>
      <w:r w:rsidR="003E03AB" w:rsidRPr="00BC312F">
        <w:rPr>
          <w:rFonts w:asciiTheme="majorBidi" w:hAnsiTheme="majorBidi" w:cstheme="majorBidi"/>
          <w:lang w:val="hu-HU"/>
        </w:rPr>
        <w:t>ozására</w:t>
      </w:r>
      <w:r w:rsidRPr="00F475E9">
        <w:rPr>
          <w:rFonts w:ascii="Times New Roman" w:hAnsi="Times New Roman" w:cs="Times New Roman"/>
          <w:lang w:val="hu-HU"/>
        </w:rPr>
        <w:t xml:space="preserve"> kiírt nyilvános pályázattal összhangban összesen </w:t>
      </w:r>
      <w:r w:rsidR="00141797">
        <w:rPr>
          <w:rFonts w:ascii="Times New Roman" w:hAnsi="Times New Roman" w:cs="Times New Roman"/>
          <w:lang w:val="hu-HU"/>
        </w:rPr>
        <w:t>4.993.285</w:t>
      </w:r>
      <w:r w:rsidRPr="00F475E9">
        <w:rPr>
          <w:rFonts w:ascii="Times New Roman" w:hAnsi="Times New Roman" w:cs="Times New Roman"/>
          <w:lang w:val="hu-HU"/>
        </w:rPr>
        <w:t>,00 dinár összegű eszköz kerül kiosztásra, amelyet Zenta község 202</w:t>
      </w:r>
      <w:r>
        <w:rPr>
          <w:rFonts w:ascii="Times New Roman" w:hAnsi="Times New Roman" w:cs="Times New Roman"/>
          <w:lang w:val="hu-HU"/>
        </w:rPr>
        <w:t>5</w:t>
      </w:r>
      <w:r w:rsidRPr="00F475E9">
        <w:rPr>
          <w:rFonts w:ascii="Times New Roman" w:hAnsi="Times New Roman" w:cs="Times New Roman"/>
          <w:lang w:val="hu-HU"/>
        </w:rPr>
        <w:t xml:space="preserve">. évi költségvetéséről szóló rendelete (Zenta Község Hivatalos Lapja, </w:t>
      </w:r>
      <w:r>
        <w:rPr>
          <w:rFonts w:ascii="Times New Roman" w:hAnsi="Times New Roman" w:cs="Times New Roman"/>
          <w:lang w:val="hu-HU"/>
        </w:rPr>
        <w:t>13/2024.</w:t>
      </w:r>
      <w:r w:rsidRPr="00F475E9">
        <w:rPr>
          <w:rFonts w:ascii="Times New Roman" w:hAnsi="Times New Roman" w:cs="Times New Roman"/>
          <w:lang w:val="hu-HU"/>
        </w:rPr>
        <w:t xml:space="preserve"> sz.) biztosít </w:t>
      </w:r>
      <w:r w:rsidR="00A620C2" w:rsidRPr="00A637BB">
        <w:rPr>
          <w:rFonts w:asciiTheme="majorBidi" w:hAnsiTheme="majorBidi" w:cstheme="majorBidi"/>
          <w:lang w:val="hu-HU"/>
        </w:rPr>
        <w:t>a „KÖZSÉGI KÖZIGAZGATÁS” elnevezésű 5. számú elosztás keretében</w:t>
      </w:r>
      <w:r w:rsidR="00A620C2" w:rsidRPr="00452841">
        <w:rPr>
          <w:rFonts w:asciiTheme="majorBidi" w:hAnsiTheme="majorBidi" w:cstheme="majorBidi"/>
          <w:lang w:val="hu-HU"/>
        </w:rPr>
        <w:t xml:space="preserve"> </w:t>
      </w:r>
      <w:r w:rsidR="00A620C2">
        <w:rPr>
          <w:rFonts w:asciiTheme="majorBidi" w:hAnsiTheme="majorBidi" w:cstheme="majorBidi"/>
          <w:lang w:val="hu-HU"/>
        </w:rPr>
        <w:t xml:space="preserve">és </w:t>
      </w:r>
      <w:r w:rsidR="00A620C2" w:rsidRPr="00452841">
        <w:rPr>
          <w:rFonts w:asciiTheme="majorBidi" w:hAnsiTheme="majorBidi" w:cstheme="majorBidi"/>
          <w:lang w:val="hu-HU"/>
        </w:rPr>
        <w:t>„</w:t>
      </w:r>
      <w:r w:rsidR="00A620C2" w:rsidRPr="00452841">
        <w:rPr>
          <w:rFonts w:asciiTheme="majorBidi" w:hAnsiTheme="majorBidi" w:cstheme="majorBidi"/>
          <w:b/>
          <w:bCs/>
          <w:lang w:val="hu-HU"/>
        </w:rPr>
        <w:t>A HELYI ÖNKORMÁNYZAT ÁLTALÁNOS SZOLGÁLTATÁSAI</w:t>
      </w:r>
      <w:r w:rsidR="00A620C2" w:rsidRPr="00452841">
        <w:rPr>
          <w:rFonts w:asciiTheme="majorBidi" w:hAnsiTheme="majorBidi" w:cstheme="majorBidi"/>
          <w:lang w:val="hu-HU"/>
        </w:rPr>
        <w:t xml:space="preserve">” elnevezésű </w:t>
      </w:r>
      <w:r w:rsidR="00A620C2" w:rsidRPr="000F190E">
        <w:rPr>
          <w:rFonts w:asciiTheme="majorBidi" w:hAnsiTheme="majorBidi" w:cstheme="majorBidi"/>
          <w:lang w:val="hu-HU"/>
        </w:rPr>
        <w:t>0602</w:t>
      </w:r>
      <w:r w:rsidR="00A620C2" w:rsidRPr="00452841">
        <w:rPr>
          <w:rFonts w:asciiTheme="majorBidi" w:hAnsiTheme="majorBidi" w:cstheme="majorBidi"/>
          <w:lang w:val="hu-HU"/>
        </w:rPr>
        <w:t xml:space="preserve"> számú program keretében, a „</w:t>
      </w:r>
      <w:r w:rsidR="00A620C2" w:rsidRPr="00452841">
        <w:rPr>
          <w:rFonts w:asciiTheme="majorBidi" w:hAnsiTheme="majorBidi" w:cstheme="majorBidi"/>
          <w:b/>
          <w:bCs/>
          <w:lang w:val="hu-HU"/>
        </w:rPr>
        <w:t>A helyi önkormányzat és a városi községek működése</w:t>
      </w:r>
      <w:r w:rsidR="00A620C2" w:rsidRPr="00452841">
        <w:rPr>
          <w:rFonts w:asciiTheme="majorBidi" w:hAnsiTheme="majorBidi" w:cstheme="majorBidi"/>
          <w:lang w:val="hu-HU"/>
        </w:rPr>
        <w:t>” elnevezésű</w:t>
      </w:r>
      <w:proofErr w:type="gramEnd"/>
      <w:r w:rsidR="00A620C2" w:rsidRPr="00452841">
        <w:rPr>
          <w:rFonts w:asciiTheme="majorBidi" w:hAnsiTheme="majorBidi" w:cstheme="majorBidi"/>
          <w:lang w:val="hu-HU"/>
        </w:rPr>
        <w:t xml:space="preserve"> </w:t>
      </w:r>
      <w:r w:rsidR="00A620C2" w:rsidRPr="000F190E">
        <w:rPr>
          <w:rFonts w:asciiTheme="majorBidi" w:hAnsiTheme="majorBidi" w:cstheme="majorBidi"/>
          <w:lang w:val="hu-HU"/>
        </w:rPr>
        <w:t>0001</w:t>
      </w:r>
      <w:r w:rsidR="00A620C2" w:rsidRPr="00452841">
        <w:rPr>
          <w:rFonts w:asciiTheme="majorBidi" w:hAnsiTheme="majorBidi" w:cstheme="majorBidi"/>
          <w:lang w:val="hu-HU"/>
        </w:rPr>
        <w:t xml:space="preserve"> számú tevékenységként, „</w:t>
      </w:r>
      <w:r w:rsidR="00A620C2" w:rsidRPr="00A620C2">
        <w:rPr>
          <w:rFonts w:asciiTheme="majorBidi" w:hAnsiTheme="majorBidi" w:cstheme="majorBidi"/>
          <w:b/>
          <w:bCs/>
          <w:lang w:val="hu-HU"/>
        </w:rPr>
        <w:t>Általános</w:t>
      </w:r>
      <w:r w:rsidR="00A620C2" w:rsidRPr="00452841">
        <w:rPr>
          <w:rFonts w:asciiTheme="majorBidi" w:hAnsiTheme="majorBidi" w:cstheme="majorBidi"/>
          <w:b/>
          <w:bCs/>
          <w:lang w:val="hu-HU"/>
        </w:rPr>
        <w:t xml:space="preserve"> szolgáltatások</w:t>
      </w:r>
      <w:r w:rsidR="00A620C2" w:rsidRPr="00452841">
        <w:rPr>
          <w:rFonts w:asciiTheme="majorBidi" w:hAnsiTheme="majorBidi" w:cstheme="majorBidi"/>
          <w:lang w:val="hu-HU"/>
        </w:rPr>
        <w:t xml:space="preserve">” tevékenységet jelölő </w:t>
      </w:r>
      <w:r w:rsidR="00A620C2" w:rsidRPr="00452841">
        <w:rPr>
          <w:rFonts w:asciiTheme="majorBidi" w:hAnsiTheme="majorBidi" w:cstheme="majorBidi"/>
          <w:b/>
          <w:bCs/>
          <w:lang w:val="hu-HU"/>
        </w:rPr>
        <w:t>1</w:t>
      </w:r>
      <w:r w:rsidR="00A620C2">
        <w:rPr>
          <w:rFonts w:asciiTheme="majorBidi" w:hAnsiTheme="majorBidi" w:cstheme="majorBidi"/>
          <w:b/>
          <w:bCs/>
          <w:lang w:val="hu-HU"/>
        </w:rPr>
        <w:t>30</w:t>
      </w:r>
      <w:r w:rsidR="00A620C2" w:rsidRPr="00452841">
        <w:rPr>
          <w:rFonts w:asciiTheme="majorBidi" w:hAnsiTheme="majorBidi" w:cstheme="majorBidi"/>
          <w:lang w:val="hu-HU"/>
        </w:rPr>
        <w:t xml:space="preserve">-as funkcionális osztályozási kóddal, </w:t>
      </w:r>
      <w:r w:rsidR="00A620C2">
        <w:rPr>
          <w:rFonts w:asciiTheme="majorBidi" w:hAnsiTheme="majorBidi" w:cstheme="majorBidi"/>
          <w:b/>
          <w:bCs/>
          <w:lang w:val="hu-HU"/>
        </w:rPr>
        <w:t>59</w:t>
      </w:r>
      <w:r w:rsidR="00A620C2" w:rsidRPr="00452841">
        <w:rPr>
          <w:rFonts w:asciiTheme="majorBidi" w:hAnsiTheme="majorBidi" w:cstheme="majorBidi"/>
          <w:b/>
          <w:bCs/>
          <w:lang w:val="hu-HU"/>
        </w:rPr>
        <w:t>/0 pozíció szám alatt</w:t>
      </w:r>
      <w:r w:rsidR="00A620C2" w:rsidRPr="00452841">
        <w:rPr>
          <w:rFonts w:asciiTheme="majorBidi" w:hAnsiTheme="majorBidi" w:cstheme="majorBidi"/>
          <w:lang w:val="hu-HU"/>
        </w:rPr>
        <w:t>, 481000 számú gazdasági osztályozással, mint „KORMÁNYON KÍVÜLI SZERVEZETEK DOTÁCIÓJA”</w:t>
      </w:r>
      <w:r w:rsidRPr="00F475E9">
        <w:rPr>
          <w:rFonts w:ascii="Times New Roman" w:hAnsi="Times New Roman" w:cs="Times New Roman"/>
          <w:lang w:val="hu-HU"/>
        </w:rPr>
        <w:t xml:space="preserve">, a következőképpen: </w:t>
      </w:r>
    </w:p>
    <w:p w:rsidR="00CA49A9" w:rsidRDefault="00CA49A9" w:rsidP="003E03AB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3002"/>
        <w:gridCol w:w="2160"/>
        <w:gridCol w:w="3042"/>
      </w:tblGrid>
      <w:tr w:rsidR="00A53DC9" w:rsidRPr="00A53DC9" w:rsidTr="00A53DC9">
        <w:trPr>
          <w:trHeight w:val="2033"/>
        </w:trPr>
        <w:tc>
          <w:tcPr>
            <w:tcW w:w="868" w:type="dxa"/>
            <w:vAlign w:val="center"/>
          </w:tcPr>
          <w:p w:rsidR="00A53DC9" w:rsidRPr="003D10BA" w:rsidRDefault="00A53DC9" w:rsidP="0046071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lang w:val="hu-HU"/>
              </w:rPr>
            </w:pPr>
          </w:p>
          <w:p w:rsidR="00A53DC9" w:rsidRPr="003D10BA" w:rsidRDefault="00A53DC9" w:rsidP="0046071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lang w:val="hu-HU"/>
              </w:rPr>
            </w:pPr>
          </w:p>
          <w:p w:rsidR="00A53DC9" w:rsidRPr="003D10BA" w:rsidRDefault="00A53DC9" w:rsidP="0046071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lang w:val="hu-HU"/>
              </w:rPr>
            </w:pPr>
          </w:p>
          <w:p w:rsidR="00A53DC9" w:rsidRPr="003D10BA" w:rsidRDefault="00A53DC9" w:rsidP="0046071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lang w:val="hu-HU"/>
              </w:rPr>
            </w:pPr>
            <w:r w:rsidRPr="003D10BA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3002" w:type="dxa"/>
            <w:vAlign w:val="center"/>
          </w:tcPr>
          <w:p w:rsidR="00A53DC9" w:rsidRPr="003D10BA" w:rsidRDefault="00A53DC9" w:rsidP="00460719">
            <w:pPr>
              <w:jc w:val="center"/>
              <w:rPr>
                <w:rFonts w:asciiTheme="majorBidi" w:eastAsia="Calibri" w:hAnsiTheme="majorBidi" w:cstheme="majorBidi"/>
                <w:b/>
                <w:lang w:val="hu-HU"/>
              </w:rPr>
            </w:pPr>
          </w:p>
          <w:p w:rsidR="00A53DC9" w:rsidRPr="003D10BA" w:rsidRDefault="00A53DC9" w:rsidP="00460719">
            <w:pPr>
              <w:jc w:val="center"/>
              <w:rPr>
                <w:rFonts w:asciiTheme="majorBidi" w:eastAsia="Calibri" w:hAnsiTheme="majorBidi" w:cstheme="majorBidi"/>
                <w:b/>
                <w:lang w:val="hu-HU"/>
              </w:rPr>
            </w:pPr>
          </w:p>
          <w:p w:rsidR="00A53DC9" w:rsidRPr="003D10BA" w:rsidRDefault="00A53DC9" w:rsidP="00460719">
            <w:pPr>
              <w:jc w:val="center"/>
              <w:rPr>
                <w:rFonts w:asciiTheme="majorBidi" w:eastAsia="Calibri" w:hAnsiTheme="majorBidi" w:cstheme="majorBidi"/>
                <w:b/>
                <w:lang w:val="hu-HU"/>
              </w:rPr>
            </w:pPr>
          </w:p>
          <w:p w:rsidR="00A53DC9" w:rsidRPr="003D10BA" w:rsidRDefault="00A53DC9" w:rsidP="0046071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/>
                <w:lang w:val="hu-HU"/>
              </w:rPr>
              <w:t>Egyesület</w:t>
            </w:r>
          </w:p>
        </w:tc>
        <w:tc>
          <w:tcPr>
            <w:tcW w:w="2160" w:type="dxa"/>
            <w:vAlign w:val="center"/>
          </w:tcPr>
          <w:p w:rsidR="00A53DC9" w:rsidRPr="003D10BA" w:rsidRDefault="00A53DC9" w:rsidP="0046071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/>
                <w:bCs/>
                <w:color w:val="000000"/>
                <w:lang w:val="hu-HU"/>
              </w:rPr>
              <w:t>A program illetve projektum megnevezése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53DC9" w:rsidRPr="003D10BA" w:rsidRDefault="00A53DC9" w:rsidP="00460719">
            <w:pPr>
              <w:tabs>
                <w:tab w:val="left" w:pos="900"/>
              </w:tabs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/>
                <w:bCs/>
                <w:color w:val="000000"/>
                <w:lang w:val="hu-HU"/>
              </w:rPr>
              <w:t>A jóváhagyott támogatási összeg dinárban kifejezve</w:t>
            </w:r>
          </w:p>
        </w:tc>
      </w:tr>
      <w:tr w:rsidR="00A53DC9" w:rsidRPr="003D10BA" w:rsidTr="00A53DC9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A53DC9" w:rsidRPr="003D10BA" w:rsidRDefault="00A53DC9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1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:rsidR="00A53DC9" w:rsidRPr="003D10BA" w:rsidRDefault="00A53DC9" w:rsidP="00460719">
            <w:pPr>
              <w:tabs>
                <w:tab w:val="left" w:pos="4131"/>
              </w:tabs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Удружење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за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неговање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народних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обичаја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„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Тавирожа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>“</w:t>
            </w:r>
          </w:p>
          <w:p w:rsidR="00A53DC9" w:rsidRPr="003D10BA" w:rsidRDefault="00A53DC9" w:rsidP="00460719">
            <w:pPr>
              <w:tabs>
                <w:tab w:val="left" w:pos="4131"/>
              </w:tabs>
              <w:spacing w:after="0"/>
              <w:jc w:val="center"/>
              <w:rPr>
                <w:rFonts w:asciiTheme="majorBidi" w:eastAsia="Calibri" w:hAnsiTheme="majorBidi" w:cstheme="majorBidi"/>
                <w:b/>
                <w:lang w:val="hu-HU"/>
              </w:rPr>
            </w:pPr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lastRenderedPageBreak/>
              <w:t>„Tavirózsa” Hagyományápoló Egyesület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53DC9" w:rsidRPr="003D10BA" w:rsidRDefault="00A53DC9" w:rsidP="004607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ajorBidi" w:hAnsiTheme="majorBidi" w:cstheme="majorBidi"/>
                <w:color w:val="000000"/>
                <w:lang w:val="hu-HU"/>
              </w:rPr>
            </w:pPr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t>Bérleti díj és egyéb állandó költségek</w:t>
            </w:r>
          </w:p>
        </w:tc>
        <w:tc>
          <w:tcPr>
            <w:tcW w:w="30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110.000,00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(bérleti díj költségeire: 110.000,00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elektromos energiára: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lastRenderedPageBreak/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   )</w:t>
            </w:r>
            <w:proofErr w:type="gramEnd"/>
          </w:p>
        </w:tc>
      </w:tr>
      <w:tr w:rsidR="00A53DC9" w:rsidRPr="003D10BA" w:rsidTr="00A53DC9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A53DC9" w:rsidRPr="003D10BA" w:rsidRDefault="00A53DC9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lastRenderedPageBreak/>
              <w:t>2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:rsidR="00A53DC9" w:rsidRPr="003D10BA" w:rsidRDefault="00A53DC9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Центар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за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заштиту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потрошача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Сента</w:t>
            </w:r>
            <w:proofErr w:type="spellEnd"/>
          </w:p>
          <w:p w:rsidR="00A53DC9" w:rsidRPr="003D10BA" w:rsidRDefault="00A53DC9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Zentai Fogyasztóvédelmi Központ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t>Bérleti díj és egyéb állandó költségek</w:t>
            </w:r>
            <w:r w:rsidRPr="003D10BA">
              <w:rPr>
                <w:rFonts w:asciiTheme="majorBidi" w:eastAsia="Calibri" w:hAnsiTheme="majorBidi" w:cstheme="majorBidi"/>
                <w:color w:val="000000"/>
                <w:lang w:val="hu-HU"/>
              </w:rPr>
              <w:t xml:space="preserve"> </w:t>
            </w:r>
          </w:p>
        </w:tc>
        <w:tc>
          <w:tcPr>
            <w:tcW w:w="30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266.000,00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</w:p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(bérleti díj költségeire: 90.000,00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elektromos energiára: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 xml:space="preserve"> 36.000,00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 xml:space="preserve"> 140.000,00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   )</w:t>
            </w:r>
            <w:proofErr w:type="gramEnd"/>
          </w:p>
        </w:tc>
      </w:tr>
      <w:tr w:rsidR="00A53DC9" w:rsidRPr="003D10BA" w:rsidTr="00A53DC9">
        <w:tc>
          <w:tcPr>
            <w:tcW w:w="868" w:type="dxa"/>
            <w:vAlign w:val="center"/>
          </w:tcPr>
          <w:p w:rsidR="00A53DC9" w:rsidRPr="003D10BA" w:rsidRDefault="00A53DC9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3</w:t>
            </w:r>
          </w:p>
        </w:tc>
        <w:tc>
          <w:tcPr>
            <w:tcW w:w="3002" w:type="dxa"/>
            <w:vAlign w:val="center"/>
          </w:tcPr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Општинска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организација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народне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технике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–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Сента</w:t>
            </w:r>
            <w:proofErr w:type="spellEnd"/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t>A Népi Technika Községi Szervezete – Zenta</w:t>
            </w:r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</w:p>
        </w:tc>
        <w:tc>
          <w:tcPr>
            <w:tcW w:w="2160" w:type="dxa"/>
            <w:vAlign w:val="center"/>
          </w:tcPr>
          <w:p w:rsidR="00A53DC9" w:rsidRPr="003D10BA" w:rsidRDefault="00A53DC9" w:rsidP="004607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Bérleti díj és egyéb állandó költségek 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2.409.220,00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(bérleti díj költségeire:</w:t>
            </w:r>
            <w:r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 778.115,47</w:t>
            </w:r>
          </w:p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lektromos energiára:</w:t>
            </w:r>
            <w:r>
              <w:rPr>
                <w:rFonts w:asciiTheme="majorBidi" w:hAnsiTheme="majorBidi" w:cstheme="majorBidi"/>
                <w:bCs/>
                <w:color w:val="000000"/>
                <w:lang w:val="hu-HU"/>
              </w:rPr>
              <w:t xml:space="preserve"> 102.658,43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távfűtésre:</w:t>
            </w:r>
            <w:r>
              <w:rPr>
                <w:rFonts w:asciiTheme="majorBidi" w:hAnsiTheme="majorBidi" w:cstheme="majorBidi"/>
                <w:bCs/>
                <w:color w:val="000000"/>
                <w:lang w:val="hu-HU"/>
              </w:rPr>
              <w:t xml:space="preserve"> 1.528.446,10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   )</w:t>
            </w:r>
            <w:proofErr w:type="gramEnd"/>
          </w:p>
        </w:tc>
      </w:tr>
      <w:tr w:rsidR="00A53DC9" w:rsidRPr="003D10BA" w:rsidTr="00A53DC9">
        <w:tc>
          <w:tcPr>
            <w:tcW w:w="868" w:type="dxa"/>
            <w:vAlign w:val="center"/>
          </w:tcPr>
          <w:p w:rsidR="00A53DC9" w:rsidRPr="003D10BA" w:rsidRDefault="00A53DC9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4</w:t>
            </w:r>
          </w:p>
        </w:tc>
        <w:tc>
          <w:tcPr>
            <w:tcW w:w="3002" w:type="dxa"/>
            <w:vAlign w:val="center"/>
          </w:tcPr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color w:val="000000"/>
                <w:lang w:val="hu-HU"/>
              </w:rPr>
              <w:t>Рукотворилачко</w:t>
            </w:r>
            <w:proofErr w:type="spellEnd"/>
            <w:r w:rsidRPr="003D10BA">
              <w:rPr>
                <w:rFonts w:asciiTheme="majorBidi" w:eastAsia="Calibri" w:hAnsiTheme="majorBidi" w:cstheme="majorBidi"/>
                <w:color w:val="000000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color w:val="000000"/>
                <w:lang w:val="hu-HU"/>
              </w:rPr>
              <w:t>удружење</w:t>
            </w:r>
            <w:proofErr w:type="spellEnd"/>
            <w:r w:rsidRPr="003D10BA">
              <w:rPr>
                <w:rFonts w:asciiTheme="majorBidi" w:eastAsia="Calibri" w:hAnsiTheme="majorBidi" w:cstheme="majorBidi"/>
                <w:color w:val="000000"/>
                <w:lang w:val="hu-HU"/>
              </w:rPr>
              <w:t xml:space="preserve"> „</w:t>
            </w:r>
            <w:proofErr w:type="spellStart"/>
            <w:r w:rsidRPr="003D10BA">
              <w:rPr>
                <w:rFonts w:asciiTheme="majorBidi" w:eastAsia="Calibri" w:hAnsiTheme="majorBidi" w:cstheme="majorBidi"/>
                <w:color w:val="000000"/>
                <w:lang w:val="hu-HU"/>
              </w:rPr>
              <w:t>Розета</w:t>
            </w:r>
            <w:proofErr w:type="spellEnd"/>
            <w:r w:rsidRPr="003D10BA">
              <w:rPr>
                <w:rFonts w:asciiTheme="majorBidi" w:eastAsia="Calibri" w:hAnsiTheme="majorBidi" w:cstheme="majorBidi"/>
                <w:color w:val="000000"/>
                <w:lang w:val="hu-HU"/>
              </w:rPr>
              <w:t xml:space="preserve">“- </w:t>
            </w:r>
            <w:proofErr w:type="spellStart"/>
            <w:r w:rsidRPr="003D10BA">
              <w:rPr>
                <w:rFonts w:asciiTheme="majorBidi" w:eastAsia="Calibri" w:hAnsiTheme="majorBidi" w:cstheme="majorBidi"/>
                <w:color w:val="000000"/>
                <w:lang w:val="hu-HU"/>
              </w:rPr>
              <w:t>Сента</w:t>
            </w:r>
            <w:proofErr w:type="spellEnd"/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lang w:val="hu-HU"/>
              </w:rPr>
            </w:pPr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color w:val="000000"/>
                <w:lang w:val="hu-HU"/>
              </w:rPr>
              <w:t>Rozetta Kézműves Társaság – Zenta</w:t>
            </w:r>
          </w:p>
        </w:tc>
        <w:tc>
          <w:tcPr>
            <w:tcW w:w="2160" w:type="dxa"/>
            <w:vAlign w:val="center"/>
          </w:tcPr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Bérleti díj és egyéb állandó költségek 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595.065,00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</w:p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115.318,68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elektromos energiára:</w:t>
            </w:r>
            <w:r>
              <w:rPr>
                <w:rFonts w:asciiTheme="majorBidi" w:hAnsiTheme="majorBidi" w:cstheme="majorBidi"/>
                <w:bCs/>
                <w:color w:val="000000"/>
                <w:lang w:val="hu-HU"/>
              </w:rPr>
              <w:t xml:space="preserve"> 147.316,32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távfűtésre:</w:t>
            </w:r>
            <w:r>
              <w:rPr>
                <w:rFonts w:asciiTheme="majorBidi" w:hAnsiTheme="majorBidi" w:cstheme="majorBidi"/>
                <w:bCs/>
                <w:color w:val="000000"/>
                <w:lang w:val="hu-HU"/>
              </w:rPr>
              <w:t xml:space="preserve"> 297.000,00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egyébre:</w:t>
            </w:r>
            <w:r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 </w:t>
            </w:r>
            <w:r>
              <w:rPr>
                <w:rFonts w:asciiTheme="majorBidi" w:eastAsia="Calibri" w:hAnsiTheme="majorBidi" w:cstheme="majorBidi"/>
                <w:lang w:val="hu-HU"/>
              </w:rPr>
              <w:t>35.430,00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>)</w:t>
            </w:r>
          </w:p>
        </w:tc>
      </w:tr>
      <w:tr w:rsidR="00A53DC9" w:rsidRPr="003D10BA" w:rsidTr="00A53DC9">
        <w:tc>
          <w:tcPr>
            <w:tcW w:w="868" w:type="dxa"/>
            <w:vAlign w:val="center"/>
          </w:tcPr>
          <w:p w:rsidR="00A53DC9" w:rsidRPr="003D10BA" w:rsidRDefault="00A53DC9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5</w:t>
            </w:r>
          </w:p>
        </w:tc>
        <w:tc>
          <w:tcPr>
            <w:tcW w:w="3002" w:type="dxa"/>
            <w:vAlign w:val="center"/>
          </w:tcPr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Клуб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мама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и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беба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–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Сента</w:t>
            </w:r>
            <w:proofErr w:type="spellEnd"/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t>Zentai Baba – mama klub</w:t>
            </w:r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lang w:val="hu-HU"/>
              </w:rPr>
            </w:pPr>
          </w:p>
        </w:tc>
        <w:tc>
          <w:tcPr>
            <w:tcW w:w="2160" w:type="dxa"/>
            <w:vAlign w:val="center"/>
          </w:tcPr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Bérleti díj és egyéb állandó költségek 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160.000,00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</w:p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24.700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elektromos energiára:</w:t>
            </w:r>
            <w:r>
              <w:rPr>
                <w:rFonts w:asciiTheme="majorBidi" w:hAnsiTheme="majorBidi" w:cstheme="majorBidi"/>
                <w:bCs/>
                <w:color w:val="000000"/>
                <w:lang w:val="hu-HU"/>
              </w:rPr>
              <w:t xml:space="preserve"> 14.700,00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távfűtésre:</w:t>
            </w:r>
            <w:r>
              <w:rPr>
                <w:rFonts w:asciiTheme="majorBidi" w:hAnsiTheme="majorBidi" w:cstheme="majorBidi"/>
                <w:bCs/>
                <w:color w:val="000000"/>
                <w:lang w:val="hu-HU"/>
              </w:rPr>
              <w:t xml:space="preserve"> 110.000,00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lang w:val="hu-HU"/>
              </w:rPr>
              <w:t>10.600,00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>)</w:t>
            </w:r>
          </w:p>
        </w:tc>
      </w:tr>
      <w:tr w:rsidR="00A53DC9" w:rsidRPr="003D10BA" w:rsidTr="00A53DC9">
        <w:tc>
          <w:tcPr>
            <w:tcW w:w="868" w:type="dxa"/>
            <w:vAlign w:val="center"/>
          </w:tcPr>
          <w:p w:rsidR="00A53DC9" w:rsidRPr="003D10BA" w:rsidRDefault="00A53DC9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6</w:t>
            </w:r>
          </w:p>
        </w:tc>
        <w:tc>
          <w:tcPr>
            <w:tcW w:w="3002" w:type="dxa"/>
            <w:vAlign w:val="center"/>
          </w:tcPr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Удрружење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пензионера-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lastRenderedPageBreak/>
              <w:t>Трећа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генерација</w:t>
            </w:r>
            <w:proofErr w:type="spellEnd"/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t>Nyugdíjas egyesület-</w:t>
            </w:r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t>Harmadik generáció</w:t>
            </w:r>
          </w:p>
        </w:tc>
        <w:tc>
          <w:tcPr>
            <w:tcW w:w="2160" w:type="dxa"/>
            <w:vAlign w:val="center"/>
          </w:tcPr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lastRenderedPageBreak/>
              <w:t xml:space="preserve">Bérleti díj és egyéb 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lastRenderedPageBreak/>
              <w:t xml:space="preserve">állandó költségek 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lastRenderedPageBreak/>
              <w:t>411.000,00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264.000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természetes gázra:</w:t>
            </w:r>
            <w:r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bCs/>
                <w:color w:val="000000"/>
                <w:lang w:val="hu-HU"/>
              </w:rPr>
              <w:t>147.000,00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elektromos energiára: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   )</w:t>
            </w:r>
            <w:proofErr w:type="gramEnd"/>
          </w:p>
        </w:tc>
      </w:tr>
      <w:tr w:rsidR="00A53DC9" w:rsidRPr="003D10BA" w:rsidTr="00A53DC9">
        <w:tc>
          <w:tcPr>
            <w:tcW w:w="868" w:type="dxa"/>
            <w:vAlign w:val="center"/>
          </w:tcPr>
          <w:p w:rsidR="00A53DC9" w:rsidRPr="003D10BA" w:rsidRDefault="00A53DC9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lastRenderedPageBreak/>
              <w:t>7</w:t>
            </w:r>
          </w:p>
        </w:tc>
        <w:tc>
          <w:tcPr>
            <w:tcW w:w="3002" w:type="dxa"/>
            <w:vAlign w:val="center"/>
          </w:tcPr>
          <w:p w:rsidR="00A53DC9" w:rsidRPr="003D10BA" w:rsidRDefault="00A53DC9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Опште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удружење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самосталних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предузетника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Сента</w:t>
            </w:r>
            <w:proofErr w:type="spellEnd"/>
          </w:p>
          <w:p w:rsidR="00A53DC9" w:rsidRPr="003D10BA" w:rsidRDefault="00A53DC9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Zentai Önálló Vállalkozók Általános Egyesülete</w:t>
            </w:r>
          </w:p>
        </w:tc>
        <w:tc>
          <w:tcPr>
            <w:tcW w:w="2160" w:type="dxa"/>
            <w:vAlign w:val="center"/>
          </w:tcPr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t>Bérleti díj és egyéb állandó költségek.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343.000,00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</w:p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63.600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természetes gázra:</w:t>
            </w:r>
            <w:r>
              <w:rPr>
                <w:rFonts w:asciiTheme="majorBidi" w:hAnsiTheme="majorBidi" w:cstheme="majorBidi"/>
                <w:bCs/>
                <w:color w:val="000000"/>
                <w:lang w:val="hu-HU"/>
              </w:rPr>
              <w:t xml:space="preserve"> 63.372,58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elektromos energiára:</w:t>
            </w:r>
            <w:r>
              <w:rPr>
                <w:rFonts w:asciiTheme="majorBidi" w:hAnsiTheme="majorBidi" w:cstheme="majorBidi"/>
                <w:bCs/>
                <w:color w:val="000000"/>
                <w:lang w:val="hu-HU"/>
              </w:rPr>
              <w:t xml:space="preserve"> 8.737,42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r>
              <w:rPr>
                <w:rFonts w:asciiTheme="majorBidi" w:eastAsia="Calibri" w:hAnsiTheme="majorBidi" w:cstheme="majorBidi"/>
                <w:lang w:val="hu-HU"/>
              </w:rPr>
              <w:t>207.290,</w:t>
            </w:r>
            <w:proofErr w:type="gramStart"/>
            <w:r>
              <w:rPr>
                <w:rFonts w:asciiTheme="majorBidi" w:eastAsia="Calibri" w:hAnsiTheme="majorBidi" w:cstheme="majorBidi"/>
                <w:lang w:val="hu-HU"/>
              </w:rPr>
              <w:t>00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   )</w:t>
            </w:r>
            <w:proofErr w:type="gramEnd"/>
          </w:p>
        </w:tc>
      </w:tr>
      <w:tr w:rsidR="00A53DC9" w:rsidRPr="003D10BA" w:rsidTr="00A53DC9">
        <w:tc>
          <w:tcPr>
            <w:tcW w:w="868" w:type="dxa"/>
            <w:vAlign w:val="center"/>
          </w:tcPr>
          <w:p w:rsidR="00A53DC9" w:rsidRPr="003D10BA" w:rsidRDefault="00A53DC9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8</w:t>
            </w:r>
          </w:p>
        </w:tc>
        <w:tc>
          <w:tcPr>
            <w:tcW w:w="3002" w:type="dxa"/>
            <w:vAlign w:val="center"/>
          </w:tcPr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Радио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клуб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Сента</w:t>
            </w:r>
            <w:proofErr w:type="spellEnd"/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t>Rádió Klub Zenta</w:t>
            </w:r>
          </w:p>
        </w:tc>
        <w:tc>
          <w:tcPr>
            <w:tcW w:w="2160" w:type="dxa"/>
            <w:vAlign w:val="center"/>
          </w:tcPr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Bérleti díj és egyéb állandó költségek 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126.000,00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22.200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elektromos energiára: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távfűtésre:</w:t>
            </w:r>
            <w:r>
              <w:rPr>
                <w:rFonts w:asciiTheme="majorBidi" w:hAnsiTheme="majorBidi" w:cstheme="majorBidi"/>
                <w:bCs/>
                <w:color w:val="000000"/>
                <w:lang w:val="hu-HU"/>
              </w:rPr>
              <w:t xml:space="preserve"> 103.800,00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   )</w:t>
            </w:r>
            <w:proofErr w:type="gramEnd"/>
          </w:p>
        </w:tc>
      </w:tr>
      <w:tr w:rsidR="00A53DC9" w:rsidRPr="003D10BA" w:rsidTr="00A53DC9">
        <w:tc>
          <w:tcPr>
            <w:tcW w:w="868" w:type="dxa"/>
            <w:vAlign w:val="center"/>
          </w:tcPr>
          <w:p w:rsidR="00A53DC9" w:rsidRPr="003D10BA" w:rsidRDefault="00A53DC9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9</w:t>
            </w:r>
          </w:p>
        </w:tc>
        <w:tc>
          <w:tcPr>
            <w:tcW w:w="3002" w:type="dxa"/>
            <w:vAlign w:val="center"/>
          </w:tcPr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Удружење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коњички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и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фијакерски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клуб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„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Вилењак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>”</w:t>
            </w:r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</w:p>
          <w:p w:rsidR="00A53DC9" w:rsidRPr="003D10BA" w:rsidRDefault="00A53DC9" w:rsidP="00460719">
            <w:pPr>
              <w:tabs>
                <w:tab w:val="left" w:pos="4131"/>
              </w:tabs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t>Táltos-Lovas és Fiákeros Klub Zenta</w:t>
            </w:r>
          </w:p>
        </w:tc>
        <w:tc>
          <w:tcPr>
            <w:tcW w:w="2160" w:type="dxa"/>
            <w:vAlign w:val="center"/>
          </w:tcPr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Bérleti díj és egyéb állandó költségek 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159.000,00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159.000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elektromos energiára: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   )</w:t>
            </w:r>
            <w:proofErr w:type="gramEnd"/>
          </w:p>
        </w:tc>
      </w:tr>
      <w:tr w:rsidR="00A53DC9" w:rsidRPr="003D10BA" w:rsidTr="00A53DC9">
        <w:tc>
          <w:tcPr>
            <w:tcW w:w="868" w:type="dxa"/>
            <w:vAlign w:val="center"/>
          </w:tcPr>
          <w:p w:rsidR="00A53DC9" w:rsidRPr="003D10BA" w:rsidRDefault="00A53DC9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10</w:t>
            </w:r>
          </w:p>
        </w:tc>
        <w:tc>
          <w:tcPr>
            <w:tcW w:w="3002" w:type="dxa"/>
            <w:vAlign w:val="center"/>
          </w:tcPr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Омладинска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организација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Торњош-Торњош</w:t>
            </w:r>
            <w:proofErr w:type="spellEnd"/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Tornyosi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Ifjúsági Szervezet – Tornyos</w:t>
            </w:r>
          </w:p>
        </w:tc>
        <w:tc>
          <w:tcPr>
            <w:tcW w:w="2160" w:type="dxa"/>
            <w:vAlign w:val="center"/>
          </w:tcPr>
          <w:p w:rsidR="00A53DC9" w:rsidRPr="003D10BA" w:rsidRDefault="00A53DC9" w:rsidP="004607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ajorBidi" w:eastAsia="Calibri" w:hAnsiTheme="majorBidi" w:cstheme="majorBidi"/>
                <w:color w:val="2021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t>Bérleti díj és egyéb állandó költségek</w:t>
            </w:r>
            <w:r w:rsidRPr="003D10BA">
              <w:rPr>
                <w:rFonts w:asciiTheme="majorBidi" w:eastAsia="Calibri" w:hAnsiTheme="majorBidi" w:cstheme="majorBidi"/>
                <w:color w:val="202124"/>
                <w:lang w:val="hu-HU"/>
              </w:rPr>
              <w:t xml:space="preserve"> 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217.000,00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39.623,26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elektromos energiára:</w:t>
            </w:r>
            <w:r>
              <w:rPr>
                <w:rFonts w:asciiTheme="majorBidi" w:hAnsiTheme="majorBidi" w:cstheme="majorBidi"/>
                <w:bCs/>
                <w:color w:val="000000"/>
                <w:lang w:val="hu-HU"/>
              </w:rPr>
              <w:t xml:space="preserve"> 177.376,74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kommunális 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lastRenderedPageBreak/>
              <w:t>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   )</w:t>
            </w:r>
            <w:proofErr w:type="gramEnd"/>
          </w:p>
        </w:tc>
      </w:tr>
      <w:tr w:rsidR="00A53DC9" w:rsidRPr="003D10BA" w:rsidTr="00A53DC9">
        <w:tc>
          <w:tcPr>
            <w:tcW w:w="868" w:type="dxa"/>
            <w:vAlign w:val="center"/>
          </w:tcPr>
          <w:p w:rsidR="00A53DC9" w:rsidRPr="003D10BA" w:rsidRDefault="00A53DC9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lastRenderedPageBreak/>
              <w:t>11</w:t>
            </w:r>
          </w:p>
        </w:tc>
        <w:tc>
          <w:tcPr>
            <w:tcW w:w="3002" w:type="dxa"/>
            <w:vAlign w:val="center"/>
          </w:tcPr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Фудбалски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клуб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„</w:t>
            </w:r>
            <w:proofErr w:type="spellStart"/>
            <w:r w:rsidRPr="003D10BA">
              <w:rPr>
                <w:rFonts w:asciiTheme="majorBidi" w:eastAsia="Calibri" w:hAnsiTheme="majorBidi" w:cstheme="majorBidi"/>
                <w:lang w:val="hu-HU"/>
              </w:rPr>
              <w:t>Сента</w:t>
            </w:r>
            <w:proofErr w:type="spellEnd"/>
            <w:r w:rsidRPr="003D10BA">
              <w:rPr>
                <w:rFonts w:asciiTheme="majorBidi" w:eastAsia="Calibri" w:hAnsiTheme="majorBidi" w:cstheme="majorBidi"/>
                <w:lang w:val="hu-HU"/>
              </w:rPr>
              <w:t>“</w:t>
            </w:r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</w:p>
          <w:p w:rsidR="00A53DC9" w:rsidRPr="003D10BA" w:rsidRDefault="00A53DC9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t>Labdarúgó club „Zenta”</w:t>
            </w:r>
          </w:p>
        </w:tc>
        <w:tc>
          <w:tcPr>
            <w:tcW w:w="2160" w:type="dxa"/>
            <w:vAlign w:val="center"/>
          </w:tcPr>
          <w:p w:rsidR="00A53DC9" w:rsidRPr="003D10BA" w:rsidRDefault="00A53DC9" w:rsidP="004607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ajorBidi" w:eastAsia="Calibri" w:hAnsiTheme="majorBidi" w:cstheme="majorBidi"/>
                <w:color w:val="FF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t>Bérleti díj és egyéb állandó költségek</w:t>
            </w:r>
            <w:r w:rsidRPr="003D10BA">
              <w:rPr>
                <w:rFonts w:asciiTheme="majorBidi" w:eastAsia="Calibri" w:hAnsiTheme="majorBidi" w:cstheme="majorBidi"/>
                <w:color w:val="FF0000"/>
                <w:lang w:val="hu-HU"/>
              </w:rPr>
              <w:t xml:space="preserve"> 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197.000,00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A53DC9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197.000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,00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elektromos energiára: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lang w:val="hu-HU"/>
              </w:rPr>
              <w:t>-</w:t>
            </w:r>
          </w:p>
          <w:p w:rsidR="00A53DC9" w:rsidRPr="003D10BA" w:rsidRDefault="00A53DC9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lang w:val="hu-HU"/>
              </w:rPr>
              <w:t xml:space="preserve">    )</w:t>
            </w:r>
            <w:proofErr w:type="gramEnd"/>
          </w:p>
        </w:tc>
      </w:tr>
      <w:tr w:rsidR="00A53DC9" w:rsidRPr="003D10BA" w:rsidTr="00381B3C">
        <w:tc>
          <w:tcPr>
            <w:tcW w:w="6030" w:type="dxa"/>
            <w:gridSpan w:val="3"/>
            <w:vAlign w:val="center"/>
          </w:tcPr>
          <w:p w:rsidR="00A53DC9" w:rsidRPr="003D10BA" w:rsidRDefault="00A53DC9" w:rsidP="00460719">
            <w:pPr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>
              <w:rPr>
                <w:rFonts w:asciiTheme="majorBidi" w:eastAsia="Calibri" w:hAnsiTheme="majorBidi" w:cstheme="majorBidi"/>
                <w:lang w:val="hu-HU"/>
              </w:rPr>
              <w:t>Összesen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53DC9" w:rsidRPr="003D10BA" w:rsidRDefault="00A53DC9" w:rsidP="00381B3C">
            <w:pPr>
              <w:jc w:val="center"/>
              <w:rPr>
                <w:rFonts w:asciiTheme="majorBidi" w:eastAsia="Calibri" w:hAnsiTheme="majorBidi" w:cstheme="majorBidi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lang w:val="hu-HU"/>
              </w:rPr>
              <w:t>4.993.285,00</w:t>
            </w:r>
          </w:p>
        </w:tc>
      </w:tr>
    </w:tbl>
    <w:p w:rsidR="00F86C29" w:rsidRDefault="00F86C29" w:rsidP="00F86C2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F86C29" w:rsidRPr="00562F72" w:rsidRDefault="00F86C29" w:rsidP="00F86C2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562F72">
        <w:rPr>
          <w:rFonts w:ascii="Times New Roman" w:hAnsi="Times New Roman" w:cs="Times New Roman"/>
          <w:lang w:val="hu-HU"/>
        </w:rPr>
        <w:t xml:space="preserve">2. Az eszközök nem célszerű felhasználása esetén, a megfelelő intézkedéseket foganatosítják az eszközök Zenta község költségvetésébe történő visszatérítése érdekében, összhangban a törvénnyel. </w:t>
      </w:r>
    </w:p>
    <w:p w:rsidR="00F86C29" w:rsidRPr="00562F72" w:rsidRDefault="00F86C29" w:rsidP="00F86C2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F86C29" w:rsidRPr="00562F72" w:rsidRDefault="00F86C29" w:rsidP="00F86C2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562F72">
        <w:rPr>
          <w:rFonts w:ascii="Times New Roman" w:hAnsi="Times New Roman" w:cs="Times New Roman"/>
          <w:lang w:val="hu-HU"/>
        </w:rPr>
        <w:t>3. A felhasználók és Zenta község között kötött</w:t>
      </w:r>
      <w:r w:rsidRPr="00562F72">
        <w:rPr>
          <w:rFonts w:ascii="Times New Roman" w:hAnsi="Times New Roman" w:cs="Times New Roman"/>
          <w:b/>
          <w:bCs/>
          <w:lang w:val="hu-HU"/>
        </w:rPr>
        <w:t xml:space="preserve"> </w:t>
      </w:r>
      <w:r>
        <w:rPr>
          <w:rFonts w:asciiTheme="majorBidi" w:hAnsiTheme="majorBidi" w:cstheme="majorBidi"/>
          <w:lang w:val="hu-HU"/>
        </w:rPr>
        <w:t>bérleti díj és</w:t>
      </w:r>
      <w:r w:rsidRPr="00BC312F">
        <w:rPr>
          <w:rFonts w:asciiTheme="majorBidi" w:hAnsiTheme="majorBidi" w:cstheme="majorBidi"/>
          <w:lang w:val="hu-HU"/>
        </w:rPr>
        <w:t xml:space="preserve"> egyéb állandó költségek </w:t>
      </w:r>
      <w:r>
        <w:rPr>
          <w:rFonts w:asciiTheme="majorBidi" w:hAnsiTheme="majorBidi" w:cstheme="majorBidi"/>
          <w:lang w:val="hu-HU"/>
        </w:rPr>
        <w:t xml:space="preserve">fedezése érdekében </w:t>
      </w:r>
      <w:r w:rsidRPr="00BC312F">
        <w:rPr>
          <w:rFonts w:asciiTheme="majorBidi" w:hAnsiTheme="majorBidi" w:cstheme="majorBidi"/>
          <w:lang w:val="hu-HU"/>
        </w:rPr>
        <w:t>egyesület</w:t>
      </w:r>
      <w:r>
        <w:rPr>
          <w:rFonts w:asciiTheme="majorBidi" w:hAnsiTheme="majorBidi" w:cstheme="majorBidi"/>
          <w:lang w:val="hu-HU"/>
        </w:rPr>
        <w:t xml:space="preserve">ek által megvalósított </w:t>
      </w:r>
      <w:r w:rsidR="000D5C88">
        <w:rPr>
          <w:rFonts w:asciiTheme="majorBidi" w:hAnsiTheme="majorBidi" w:cstheme="majorBidi"/>
          <w:lang w:val="hu-HU"/>
        </w:rPr>
        <w:t>pr</w:t>
      </w:r>
      <w:r>
        <w:rPr>
          <w:rFonts w:asciiTheme="majorBidi" w:hAnsiTheme="majorBidi" w:cstheme="majorBidi"/>
          <w:lang w:val="hu-HU"/>
        </w:rPr>
        <w:t>ogramok/projektek valamint éves programok egy részének</w:t>
      </w:r>
      <w:r w:rsidRPr="00BC312F">
        <w:rPr>
          <w:rFonts w:asciiTheme="majorBidi" w:hAnsiTheme="majorBidi" w:cstheme="majorBidi"/>
          <w:lang w:val="hu-HU"/>
        </w:rPr>
        <w:t xml:space="preserve"> </w:t>
      </w:r>
      <w:r>
        <w:rPr>
          <w:rFonts w:asciiTheme="majorBidi" w:hAnsiTheme="majorBidi" w:cstheme="majorBidi"/>
          <w:lang w:val="hu-HU"/>
        </w:rPr>
        <w:t>(társ</w:t>
      </w:r>
      <w:proofErr w:type="gramStart"/>
      <w:r>
        <w:rPr>
          <w:rFonts w:asciiTheme="majorBidi" w:hAnsiTheme="majorBidi" w:cstheme="majorBidi"/>
          <w:lang w:val="hu-HU"/>
        </w:rPr>
        <w:t>)</w:t>
      </w:r>
      <w:r w:rsidRPr="00BC312F">
        <w:rPr>
          <w:rFonts w:asciiTheme="majorBidi" w:hAnsiTheme="majorBidi" w:cstheme="majorBidi"/>
          <w:lang w:val="hu-HU"/>
        </w:rPr>
        <w:t>finanszí</w:t>
      </w:r>
      <w:r>
        <w:rPr>
          <w:rFonts w:asciiTheme="majorBidi" w:hAnsiTheme="majorBidi" w:cstheme="majorBidi"/>
          <w:lang w:val="hu-HU"/>
        </w:rPr>
        <w:t>rozásáról</w:t>
      </w:r>
      <w:proofErr w:type="gramEnd"/>
      <w:r>
        <w:rPr>
          <w:rFonts w:asciiTheme="majorBidi" w:hAnsiTheme="majorBidi" w:cstheme="majorBidi"/>
          <w:lang w:val="hu-HU"/>
        </w:rPr>
        <w:t xml:space="preserve"> </w:t>
      </w:r>
      <w:r w:rsidRPr="00562F72">
        <w:rPr>
          <w:rFonts w:ascii="Times New Roman" w:hAnsi="Times New Roman" w:cs="Times New Roman"/>
          <w:lang w:val="hu-HU"/>
        </w:rPr>
        <w:t xml:space="preserve">szóló szerződések alapján osztják ki a felhasználóknak jóváhagyott eszközöket, és e szerződéssel szabályozzák a szerződő felek jogait, kötelezettségeit és felelősségét. </w:t>
      </w:r>
    </w:p>
    <w:p w:rsidR="00F86C29" w:rsidRPr="00562F72" w:rsidRDefault="00F86C29" w:rsidP="00F86C2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F86C29" w:rsidRPr="00562F72" w:rsidRDefault="00F86C29" w:rsidP="00F86C2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562F72">
        <w:rPr>
          <w:rFonts w:ascii="Times New Roman" w:hAnsi="Times New Roman" w:cs="Times New Roman"/>
          <w:lang w:val="hu-HU"/>
        </w:rPr>
        <w:t xml:space="preserve">4. Kérjük a jelen végzés 1. pontjában meghatározott egyesületeket, hogy jelen végzés Zenta község hivatalos </w:t>
      </w:r>
      <w:r>
        <w:rPr>
          <w:rFonts w:ascii="Times New Roman" w:hAnsi="Times New Roman" w:cs="Times New Roman"/>
          <w:lang w:val="hu-HU"/>
        </w:rPr>
        <w:t>honlapján</w:t>
      </w:r>
      <w:r w:rsidRPr="00562F72">
        <w:rPr>
          <w:rFonts w:ascii="Times New Roman" w:hAnsi="Times New Roman" w:cs="Times New Roman"/>
          <w:lang w:val="hu-HU"/>
        </w:rPr>
        <w:t xml:space="preserve"> és Zenta község hirdetőtábláján való megjelenésétől számított nyolc napon belül jelentkezzenek szerződéskötés céljából. Ellenkező esetben úgy tekintendő, hogy visszavonták a programjavaslatot.</w:t>
      </w:r>
    </w:p>
    <w:p w:rsidR="00F86C29" w:rsidRPr="00562F72" w:rsidRDefault="00F86C29" w:rsidP="00F86C2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F86C29" w:rsidRPr="00562F72" w:rsidRDefault="00F86C29" w:rsidP="00F86C2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562F72">
        <w:rPr>
          <w:rFonts w:ascii="Times New Roman" w:hAnsi="Times New Roman" w:cs="Times New Roman"/>
          <w:lang w:val="hu-HU"/>
        </w:rPr>
        <w:t xml:space="preserve">5. Jelen végzés végrehajtásáért Zenta Község Közigazgatási Hivatala felelős. </w:t>
      </w:r>
    </w:p>
    <w:p w:rsidR="00382721" w:rsidRDefault="00382721">
      <w:pPr>
        <w:rPr>
          <w:lang w:val="hu-HU"/>
        </w:rPr>
      </w:pPr>
    </w:p>
    <w:p w:rsidR="00750D46" w:rsidRDefault="00750D46" w:rsidP="00750D4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  <w:r w:rsidRPr="00A474F9">
        <w:rPr>
          <w:rFonts w:ascii="Times New Roman" w:hAnsi="Times New Roman" w:cs="Times New Roman"/>
          <w:b/>
          <w:bCs/>
          <w:lang w:val="hu-HU"/>
        </w:rPr>
        <w:t>I n d o k o l á s</w:t>
      </w:r>
    </w:p>
    <w:p w:rsidR="00750D46" w:rsidRPr="00A474F9" w:rsidRDefault="00750D46" w:rsidP="00750D4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750D46" w:rsidRPr="00A474F9" w:rsidRDefault="00750D46" w:rsidP="00750D46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proofErr w:type="gramStart"/>
      <w:r w:rsidRPr="00A474F9">
        <w:rPr>
          <w:rFonts w:ascii="Times New Roman" w:hAnsi="Times New Roman" w:cs="Times New Roman"/>
          <w:lang w:val="hu-HU"/>
        </w:rPr>
        <w:t>A Zenta község 202</w:t>
      </w:r>
      <w:r>
        <w:rPr>
          <w:rFonts w:ascii="Times New Roman" w:hAnsi="Times New Roman" w:cs="Times New Roman"/>
          <w:lang w:val="hu-HU"/>
        </w:rPr>
        <w:t>5</w:t>
      </w:r>
      <w:r w:rsidRPr="00A474F9">
        <w:rPr>
          <w:rFonts w:ascii="Times New Roman" w:hAnsi="Times New Roman" w:cs="Times New Roman"/>
          <w:lang w:val="hu-HU"/>
        </w:rPr>
        <w:t>. évi költségvetéléséről szóló rendelet</w:t>
      </w:r>
      <w:r>
        <w:rPr>
          <w:rFonts w:ascii="Times New Roman" w:hAnsi="Times New Roman" w:cs="Times New Roman"/>
          <w:lang w:val="hu-HU"/>
        </w:rPr>
        <w:t>e</w:t>
      </w:r>
      <w:r w:rsidRPr="00A474F9">
        <w:rPr>
          <w:rFonts w:ascii="Times New Roman" w:hAnsi="Times New Roman" w:cs="Times New Roman"/>
          <w:lang w:val="hu-HU"/>
        </w:rPr>
        <w:t xml:space="preserve"> alapján (Zenta Község Hivatalos Lapja, </w:t>
      </w:r>
      <w:r>
        <w:rPr>
          <w:rFonts w:ascii="Times New Roman" w:hAnsi="Times New Roman" w:cs="Times New Roman"/>
          <w:lang w:val="hu-HU"/>
        </w:rPr>
        <w:t>13/24.</w:t>
      </w:r>
      <w:r w:rsidRPr="00A474F9">
        <w:rPr>
          <w:rFonts w:ascii="Times New Roman" w:hAnsi="Times New Roman" w:cs="Times New Roman"/>
          <w:lang w:val="hu-HU"/>
        </w:rPr>
        <w:t xml:space="preserve"> sz.), </w:t>
      </w:r>
      <w:r w:rsidRPr="001E7BBF">
        <w:rPr>
          <w:rFonts w:ascii="Times New Roman" w:hAnsi="Times New Roman" w:cs="Times New Roman"/>
          <w:lang w:val="hu-HU"/>
        </w:rPr>
        <w:t xml:space="preserve">a „KÖZSÉGI KÖZIGAZGATÁS” elnevezésű 5. számú elosztás keretében, </w:t>
      </w:r>
      <w:r w:rsidRPr="001E703E">
        <w:rPr>
          <w:rFonts w:asciiTheme="majorBidi" w:hAnsiTheme="majorBidi" w:cstheme="majorBidi"/>
          <w:lang w:val="hu-HU"/>
        </w:rPr>
        <w:t>az „</w:t>
      </w:r>
      <w:r w:rsidRPr="001E703E">
        <w:rPr>
          <w:rFonts w:asciiTheme="majorBidi" w:hAnsiTheme="majorBidi" w:cstheme="majorBidi"/>
          <w:b/>
          <w:bCs/>
          <w:lang w:val="hu-HU"/>
        </w:rPr>
        <w:t>A HELYI ÖNKORMÁNYZAT ÁLTALÁNOS SZOLGÁLTATÁSAI</w:t>
      </w:r>
      <w:r w:rsidRPr="001E703E">
        <w:rPr>
          <w:rFonts w:asciiTheme="majorBidi" w:hAnsiTheme="majorBidi" w:cstheme="majorBidi"/>
          <w:lang w:val="hu-HU"/>
        </w:rPr>
        <w:t xml:space="preserve">” elnevezésű </w:t>
      </w:r>
      <w:r w:rsidRPr="00D9449F">
        <w:rPr>
          <w:rFonts w:asciiTheme="majorBidi" w:hAnsiTheme="majorBidi" w:cstheme="majorBidi"/>
          <w:lang w:val="hu-HU"/>
        </w:rPr>
        <w:t>0602</w:t>
      </w:r>
      <w:r w:rsidRPr="001E703E">
        <w:rPr>
          <w:rFonts w:asciiTheme="majorBidi" w:hAnsiTheme="majorBidi" w:cstheme="majorBidi"/>
          <w:lang w:val="hu-HU"/>
        </w:rPr>
        <w:t xml:space="preserve"> számú program keretében, a „</w:t>
      </w:r>
      <w:r w:rsidRPr="001E703E">
        <w:rPr>
          <w:rFonts w:asciiTheme="majorBidi" w:hAnsiTheme="majorBidi" w:cstheme="majorBidi"/>
          <w:b/>
          <w:bCs/>
          <w:lang w:val="hu-HU"/>
        </w:rPr>
        <w:t>A helyi önkormányzat és a városi községek működése</w:t>
      </w:r>
      <w:r w:rsidRPr="001E703E">
        <w:rPr>
          <w:rFonts w:asciiTheme="majorBidi" w:hAnsiTheme="majorBidi" w:cstheme="majorBidi"/>
          <w:lang w:val="hu-HU"/>
        </w:rPr>
        <w:t xml:space="preserve">” elnevezésű </w:t>
      </w:r>
      <w:r w:rsidRPr="00D9449F">
        <w:rPr>
          <w:rFonts w:asciiTheme="majorBidi" w:hAnsiTheme="majorBidi" w:cstheme="majorBidi"/>
          <w:lang w:val="hu-HU"/>
        </w:rPr>
        <w:t>0001</w:t>
      </w:r>
      <w:r w:rsidRPr="001E703E">
        <w:rPr>
          <w:rFonts w:asciiTheme="majorBidi" w:hAnsiTheme="majorBidi" w:cstheme="majorBidi"/>
          <w:lang w:val="hu-HU"/>
        </w:rPr>
        <w:t xml:space="preserve"> számú tevékenységként, „</w:t>
      </w:r>
      <w:r w:rsidRPr="00EB3C42">
        <w:rPr>
          <w:rFonts w:asciiTheme="majorBidi" w:hAnsiTheme="majorBidi" w:cstheme="majorBidi"/>
          <w:b/>
          <w:bCs/>
          <w:lang w:val="hu-HU"/>
        </w:rPr>
        <w:t>Á</w:t>
      </w:r>
      <w:r w:rsidRPr="001E703E">
        <w:rPr>
          <w:rFonts w:asciiTheme="majorBidi" w:hAnsiTheme="majorBidi" w:cstheme="majorBidi"/>
          <w:b/>
          <w:bCs/>
          <w:lang w:val="hu-HU"/>
        </w:rPr>
        <w:t>ltalános szolgáltatások</w:t>
      </w:r>
      <w:r w:rsidRPr="001E703E">
        <w:rPr>
          <w:rFonts w:asciiTheme="majorBidi" w:hAnsiTheme="majorBidi" w:cstheme="majorBidi"/>
          <w:lang w:val="hu-HU"/>
        </w:rPr>
        <w:t xml:space="preserve">” tevékenységet jelölő </w:t>
      </w:r>
      <w:r w:rsidRPr="001E703E">
        <w:rPr>
          <w:rFonts w:asciiTheme="majorBidi" w:hAnsiTheme="majorBidi" w:cstheme="majorBidi"/>
          <w:b/>
          <w:bCs/>
          <w:lang w:val="hu-HU"/>
        </w:rPr>
        <w:t>13</w:t>
      </w:r>
      <w:r>
        <w:rPr>
          <w:rFonts w:asciiTheme="majorBidi" w:hAnsiTheme="majorBidi" w:cstheme="majorBidi"/>
          <w:b/>
          <w:bCs/>
          <w:lang w:val="hu-HU"/>
        </w:rPr>
        <w:t>0</w:t>
      </w:r>
      <w:r w:rsidRPr="001E703E">
        <w:rPr>
          <w:rFonts w:asciiTheme="majorBidi" w:hAnsiTheme="majorBidi" w:cstheme="majorBidi"/>
          <w:lang w:val="hu-HU"/>
        </w:rPr>
        <w:t xml:space="preserve">-as funkcionális osztályozási kóddal, </w:t>
      </w:r>
      <w:r>
        <w:rPr>
          <w:rFonts w:asciiTheme="majorBidi" w:hAnsiTheme="majorBidi" w:cstheme="majorBidi"/>
          <w:b/>
          <w:bCs/>
          <w:lang w:val="hu-HU"/>
        </w:rPr>
        <w:t>59</w:t>
      </w:r>
      <w:r w:rsidRPr="001E703E">
        <w:rPr>
          <w:rFonts w:asciiTheme="majorBidi" w:hAnsiTheme="majorBidi" w:cstheme="majorBidi"/>
          <w:b/>
          <w:bCs/>
          <w:lang w:val="hu-HU"/>
        </w:rPr>
        <w:t>/0 pozíció szám alatt</w:t>
      </w:r>
      <w:r w:rsidRPr="001E703E">
        <w:rPr>
          <w:rFonts w:asciiTheme="majorBidi" w:hAnsiTheme="majorBidi" w:cstheme="majorBidi"/>
          <w:lang w:val="hu-HU"/>
        </w:rPr>
        <w:t>, 481000 számú gazdasági osztályozással, mint „KORMÁNYON KÍVÜLI SZERVEZETEK DOTÁCIÓJA”</w:t>
      </w:r>
      <w:r w:rsidRPr="00A474F9">
        <w:rPr>
          <w:rFonts w:ascii="Times New Roman" w:hAnsi="Times New Roman" w:cs="Times New Roman"/>
          <w:lang w:val="hu-HU"/>
        </w:rPr>
        <w:t xml:space="preserve">, </w:t>
      </w:r>
      <w:r w:rsidRPr="00750D46">
        <w:rPr>
          <w:rFonts w:ascii="Times New Roman" w:hAnsi="Times New Roman" w:cs="Times New Roman"/>
          <w:lang w:val="hu-HU"/>
        </w:rPr>
        <w:t>5.000.000,00</w:t>
      </w:r>
      <w:r w:rsidRPr="00A474F9">
        <w:rPr>
          <w:rFonts w:ascii="Times New Roman" w:hAnsi="Times New Roman" w:cs="Times New Roman"/>
          <w:lang w:val="hu-HU"/>
        </w:rPr>
        <w:t xml:space="preserve"> dinár összegű pénzeszközt</w:t>
      </w:r>
      <w:proofErr w:type="gramEnd"/>
      <w:r w:rsidRPr="00A474F9">
        <w:rPr>
          <w:rFonts w:ascii="Times New Roman" w:hAnsi="Times New Roman" w:cs="Times New Roman"/>
          <w:lang w:val="hu-HU"/>
        </w:rPr>
        <w:t xml:space="preserve"> </w:t>
      </w:r>
      <w:proofErr w:type="gramStart"/>
      <w:r w:rsidRPr="00A474F9">
        <w:rPr>
          <w:rFonts w:ascii="Times New Roman" w:hAnsi="Times New Roman" w:cs="Times New Roman"/>
          <w:lang w:val="hu-HU"/>
        </w:rPr>
        <w:t>határoztak</w:t>
      </w:r>
      <w:proofErr w:type="gramEnd"/>
      <w:r w:rsidRPr="00A474F9">
        <w:rPr>
          <w:rFonts w:ascii="Times New Roman" w:hAnsi="Times New Roman" w:cs="Times New Roman"/>
          <w:lang w:val="hu-HU"/>
        </w:rPr>
        <w:t xml:space="preserve"> meg.</w:t>
      </w:r>
    </w:p>
    <w:p w:rsidR="00750D46" w:rsidRPr="00A474F9" w:rsidRDefault="00750D46" w:rsidP="00750D46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750D46" w:rsidRPr="00A474F9" w:rsidRDefault="00750D46" w:rsidP="00E115D6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A474F9">
        <w:rPr>
          <w:rFonts w:ascii="Times New Roman" w:hAnsi="Times New Roman" w:cs="Times New Roman"/>
          <w:lang w:val="hu-HU"/>
        </w:rPr>
        <w:t xml:space="preserve">Zenta község </w:t>
      </w:r>
      <w:r>
        <w:rPr>
          <w:rFonts w:ascii="Times New Roman" w:hAnsi="Times New Roman" w:cs="Times New Roman"/>
          <w:lang w:val="hu-HU"/>
        </w:rPr>
        <w:t>2025. január 28-án</w:t>
      </w:r>
      <w:r w:rsidRPr="00A474F9">
        <w:rPr>
          <w:rFonts w:ascii="Times New Roman" w:hAnsi="Times New Roman" w:cs="Times New Roman"/>
          <w:lang w:val="hu-HU"/>
        </w:rPr>
        <w:t xml:space="preserve"> nyilvános pályázatot hirdetett </w:t>
      </w:r>
      <w:r w:rsidR="00E115D6">
        <w:rPr>
          <w:rFonts w:ascii="Times New Roman" w:hAnsi="Times New Roman" w:cs="Times New Roman"/>
          <w:lang w:val="hu-HU"/>
        </w:rPr>
        <w:t>a</w:t>
      </w:r>
      <w:r w:rsidRPr="00A474F9">
        <w:rPr>
          <w:rFonts w:ascii="Times New Roman" w:hAnsi="Times New Roman" w:cs="Times New Roman"/>
          <w:lang w:val="hu-HU"/>
        </w:rPr>
        <w:t xml:space="preserve"> </w:t>
      </w:r>
      <w:r>
        <w:rPr>
          <w:rFonts w:asciiTheme="majorBidi" w:hAnsiTheme="majorBidi" w:cstheme="majorBidi"/>
          <w:lang w:val="hu-HU"/>
        </w:rPr>
        <w:t>bérleti díj és</w:t>
      </w:r>
      <w:r w:rsidRPr="00BC312F">
        <w:rPr>
          <w:rFonts w:asciiTheme="majorBidi" w:hAnsiTheme="majorBidi" w:cstheme="majorBidi"/>
          <w:lang w:val="hu-HU"/>
        </w:rPr>
        <w:t xml:space="preserve"> egyéb állandó költségek </w:t>
      </w:r>
      <w:r>
        <w:rPr>
          <w:rFonts w:asciiTheme="majorBidi" w:hAnsiTheme="majorBidi" w:cstheme="majorBidi"/>
          <w:lang w:val="hu-HU"/>
        </w:rPr>
        <w:t xml:space="preserve">fedezése érdekében </w:t>
      </w:r>
      <w:r w:rsidRPr="00BC312F">
        <w:rPr>
          <w:rFonts w:asciiTheme="majorBidi" w:hAnsiTheme="majorBidi" w:cstheme="majorBidi"/>
          <w:lang w:val="hu-HU"/>
        </w:rPr>
        <w:t>egyesület</w:t>
      </w:r>
      <w:r>
        <w:rPr>
          <w:rFonts w:asciiTheme="majorBidi" w:hAnsiTheme="majorBidi" w:cstheme="majorBidi"/>
          <w:lang w:val="hu-HU"/>
        </w:rPr>
        <w:t>ek által megvalósított programok/projektek valamint éves programok egy részének</w:t>
      </w:r>
      <w:r w:rsidRPr="00BC312F">
        <w:rPr>
          <w:rFonts w:asciiTheme="majorBidi" w:hAnsiTheme="majorBidi" w:cstheme="majorBidi"/>
          <w:lang w:val="hu-HU"/>
        </w:rPr>
        <w:t xml:space="preserve"> </w:t>
      </w:r>
      <w:r w:rsidRPr="00A474F9">
        <w:rPr>
          <w:rFonts w:ascii="Times New Roman" w:hAnsi="Times New Roman" w:cs="Times New Roman"/>
          <w:lang w:val="hu-HU"/>
        </w:rPr>
        <w:t>finanszírozásához szükséges hiányzó források biztosítására.</w:t>
      </w:r>
    </w:p>
    <w:p w:rsidR="00750D46" w:rsidRPr="00A474F9" w:rsidRDefault="00750D46" w:rsidP="00750D46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750D46" w:rsidRPr="00A474F9" w:rsidRDefault="00750D46" w:rsidP="00E115D6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A474F9">
        <w:rPr>
          <w:rFonts w:ascii="Times New Roman" w:hAnsi="Times New Roman" w:cs="Times New Roman"/>
          <w:lang w:val="hu-HU"/>
        </w:rPr>
        <w:t xml:space="preserve">Zenta község polgármestere a </w:t>
      </w:r>
      <w:r w:rsidR="00E115D6">
        <w:rPr>
          <w:rFonts w:ascii="Times New Roman" w:hAnsi="Times New Roman" w:cs="Times New Roman"/>
          <w:lang w:val="hu-HU"/>
        </w:rPr>
        <w:t xml:space="preserve">2025. február </w:t>
      </w:r>
      <w:proofErr w:type="gramStart"/>
      <w:r w:rsidR="00E115D6">
        <w:rPr>
          <w:rFonts w:ascii="Times New Roman" w:hAnsi="Times New Roman" w:cs="Times New Roman"/>
          <w:lang w:val="hu-HU"/>
        </w:rPr>
        <w:t>21</w:t>
      </w:r>
      <w:r>
        <w:rPr>
          <w:rFonts w:ascii="Times New Roman" w:hAnsi="Times New Roman" w:cs="Times New Roman"/>
          <w:lang w:val="hu-HU"/>
        </w:rPr>
        <w:t>-i</w:t>
      </w:r>
      <w:r w:rsidRPr="00A474F9">
        <w:rPr>
          <w:rFonts w:ascii="Times New Roman" w:hAnsi="Times New Roman" w:cs="Times New Roman"/>
          <w:lang w:val="hu-HU"/>
        </w:rPr>
        <w:t xml:space="preserve"> keltezésű</w:t>
      </w:r>
      <w:proofErr w:type="gramEnd"/>
      <w:r w:rsidRPr="00A474F9">
        <w:rPr>
          <w:rFonts w:ascii="Times New Roman" w:hAnsi="Times New Roman" w:cs="Times New Roman"/>
          <w:lang w:val="hu-HU"/>
        </w:rPr>
        <w:t xml:space="preserve"> </w:t>
      </w:r>
      <w:r w:rsidR="00E115D6" w:rsidRPr="003357CC">
        <w:rPr>
          <w:rFonts w:ascii="Times New Roman" w:hAnsi="Times New Roman" w:cs="Times New Roman"/>
          <w:shd w:val="clear" w:color="auto" w:fill="FFFFFF"/>
          <w:lang w:val="sr-Cyrl-CS"/>
        </w:rPr>
        <w:t>000051649 2025 08858 002 000 000 001</w:t>
      </w:r>
      <w:r w:rsidR="00E115D6">
        <w:rPr>
          <w:rFonts w:ascii="Times New Roman" w:hAnsi="Times New Roman" w:cs="Times New Roman"/>
          <w:shd w:val="clear" w:color="auto" w:fill="FFFFFF"/>
          <w:lang w:val="hu-HU"/>
        </w:rPr>
        <w:t xml:space="preserve"> </w:t>
      </w:r>
      <w:r w:rsidRPr="00A474F9">
        <w:rPr>
          <w:rFonts w:ascii="Times New Roman" w:hAnsi="Times New Roman" w:cs="Times New Roman"/>
          <w:lang w:val="hu-HU"/>
        </w:rPr>
        <w:t xml:space="preserve">számú végzéssel megalakította </w:t>
      </w:r>
      <w:r w:rsidRPr="00424C4C">
        <w:rPr>
          <w:rFonts w:ascii="Times New Roman" w:hAnsi="Times New Roman" w:cs="Times New Roman"/>
          <w:lang w:val="hu-HU"/>
        </w:rPr>
        <w:t xml:space="preserve">a szociális védelem területén </w:t>
      </w:r>
      <w:r w:rsidR="00E115D6">
        <w:rPr>
          <w:rFonts w:ascii="Times New Roman" w:hAnsi="Times New Roman" w:cs="Times New Roman"/>
          <w:lang w:val="hu-HU"/>
        </w:rPr>
        <w:t>a</w:t>
      </w:r>
      <w:r w:rsidR="00E115D6" w:rsidRPr="00A474F9">
        <w:rPr>
          <w:rFonts w:ascii="Times New Roman" w:hAnsi="Times New Roman" w:cs="Times New Roman"/>
          <w:lang w:val="hu-HU"/>
        </w:rPr>
        <w:t xml:space="preserve"> </w:t>
      </w:r>
      <w:r w:rsidR="00E115D6">
        <w:rPr>
          <w:rFonts w:asciiTheme="majorBidi" w:hAnsiTheme="majorBidi" w:cstheme="majorBidi"/>
          <w:lang w:val="hu-HU"/>
        </w:rPr>
        <w:t>bérleti díj és</w:t>
      </w:r>
      <w:r w:rsidR="00E115D6" w:rsidRPr="00BC312F">
        <w:rPr>
          <w:rFonts w:asciiTheme="majorBidi" w:hAnsiTheme="majorBidi" w:cstheme="majorBidi"/>
          <w:lang w:val="hu-HU"/>
        </w:rPr>
        <w:t xml:space="preserve"> egyéb </w:t>
      </w:r>
      <w:r w:rsidR="00E115D6" w:rsidRPr="00BC312F">
        <w:rPr>
          <w:rFonts w:asciiTheme="majorBidi" w:hAnsiTheme="majorBidi" w:cstheme="majorBidi"/>
          <w:lang w:val="hu-HU"/>
        </w:rPr>
        <w:lastRenderedPageBreak/>
        <w:t xml:space="preserve">állandó költségek </w:t>
      </w:r>
      <w:r w:rsidR="00E115D6">
        <w:rPr>
          <w:rFonts w:asciiTheme="majorBidi" w:hAnsiTheme="majorBidi" w:cstheme="majorBidi"/>
          <w:lang w:val="hu-HU"/>
        </w:rPr>
        <w:t xml:space="preserve">fedezése érdekében </w:t>
      </w:r>
      <w:r w:rsidR="00E115D6" w:rsidRPr="00BC312F">
        <w:rPr>
          <w:rFonts w:asciiTheme="majorBidi" w:hAnsiTheme="majorBidi" w:cstheme="majorBidi"/>
          <w:lang w:val="hu-HU"/>
        </w:rPr>
        <w:t>egyesület</w:t>
      </w:r>
      <w:r w:rsidR="00E115D6">
        <w:rPr>
          <w:rFonts w:asciiTheme="majorBidi" w:hAnsiTheme="majorBidi" w:cstheme="majorBidi"/>
          <w:lang w:val="hu-HU"/>
        </w:rPr>
        <w:t>ek által megvalósított programok/projektek valamint éves programok egy részének</w:t>
      </w:r>
      <w:r w:rsidR="00E115D6" w:rsidRPr="00BC312F">
        <w:rPr>
          <w:rFonts w:asciiTheme="majorBidi" w:hAnsiTheme="majorBidi" w:cstheme="majorBidi"/>
          <w:lang w:val="hu-HU"/>
        </w:rPr>
        <w:t xml:space="preserve"> </w:t>
      </w:r>
      <w:r w:rsidR="00E115D6" w:rsidRPr="00A474F9">
        <w:rPr>
          <w:rFonts w:ascii="Times New Roman" w:hAnsi="Times New Roman" w:cs="Times New Roman"/>
          <w:lang w:val="hu-HU"/>
        </w:rPr>
        <w:t>finanszírozásához szükséges hiányzó források</w:t>
      </w:r>
      <w:r w:rsidRPr="00A474F9">
        <w:rPr>
          <w:rFonts w:ascii="Times New Roman" w:hAnsi="Times New Roman" w:cs="Times New Roman"/>
          <w:lang w:val="hu-HU"/>
        </w:rPr>
        <w:t xml:space="preserve"> biztosítására kiírt nyilvános pályázat lefolytatásáért felelős pályázati bizottságot.</w:t>
      </w:r>
    </w:p>
    <w:p w:rsidR="00750D46" w:rsidRPr="00A474F9" w:rsidRDefault="00750D46" w:rsidP="00750D46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750D46" w:rsidRPr="00A474F9" w:rsidRDefault="00750D46" w:rsidP="00750D46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A474F9">
        <w:rPr>
          <w:rFonts w:ascii="Times New Roman" w:hAnsi="Times New Roman" w:cs="Times New Roman"/>
          <w:lang w:val="hu-HU"/>
        </w:rPr>
        <w:t>A bizottság elvégezte a programok értékelését, és létrehozta a benyújtott programok értékelési és rangsorolási listáját, amelyről jegyzőkönyv készült.</w:t>
      </w:r>
    </w:p>
    <w:p w:rsidR="00750D46" w:rsidRPr="00A474F9" w:rsidRDefault="00750D46" w:rsidP="00750D46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750D46" w:rsidRPr="00A474F9" w:rsidRDefault="00750D46" w:rsidP="00950F0E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A474F9">
        <w:rPr>
          <w:rFonts w:ascii="Times New Roman" w:hAnsi="Times New Roman" w:cs="Times New Roman"/>
          <w:lang w:val="hu-HU"/>
        </w:rPr>
        <w:t xml:space="preserve">A </w:t>
      </w:r>
      <w:r w:rsidR="00950F0E">
        <w:rPr>
          <w:rFonts w:ascii="Times New Roman" w:hAnsi="Times New Roman" w:cs="Times New Roman"/>
          <w:lang w:val="hu-HU"/>
        </w:rPr>
        <w:t xml:space="preserve">2025. március </w:t>
      </w:r>
      <w:proofErr w:type="gramStart"/>
      <w:r w:rsidR="00950F0E">
        <w:rPr>
          <w:rFonts w:ascii="Times New Roman" w:hAnsi="Times New Roman" w:cs="Times New Roman"/>
          <w:lang w:val="hu-HU"/>
        </w:rPr>
        <w:t>17</w:t>
      </w:r>
      <w:r>
        <w:rPr>
          <w:rFonts w:ascii="Times New Roman" w:hAnsi="Times New Roman" w:cs="Times New Roman"/>
          <w:lang w:val="hu-HU"/>
        </w:rPr>
        <w:t>-</w:t>
      </w:r>
      <w:r w:rsidRPr="00A474F9">
        <w:rPr>
          <w:rFonts w:ascii="Times New Roman" w:hAnsi="Times New Roman" w:cs="Times New Roman"/>
          <w:lang w:val="hu-HU"/>
        </w:rPr>
        <w:t>i keltezésű</w:t>
      </w:r>
      <w:proofErr w:type="gramEnd"/>
      <w:r w:rsidRPr="00A474F9">
        <w:rPr>
          <w:rFonts w:ascii="Times New Roman" w:hAnsi="Times New Roman" w:cs="Times New Roman"/>
          <w:lang w:val="hu-HU"/>
        </w:rPr>
        <w:t xml:space="preserve"> </w:t>
      </w:r>
      <w:r w:rsidR="00950F0E" w:rsidRPr="003357CC">
        <w:rPr>
          <w:rFonts w:ascii="Times New Roman" w:hAnsi="Times New Roman" w:cs="Times New Roman"/>
          <w:shd w:val="clear" w:color="auto" w:fill="FFFFFF"/>
          <w:lang w:val="sr-Cyrl-CS"/>
        </w:rPr>
        <w:t>000051649 2025 08858 002 000 000 001</w:t>
      </w:r>
      <w:r w:rsidR="00950F0E">
        <w:rPr>
          <w:rFonts w:ascii="Times New Roman" w:hAnsi="Times New Roman" w:cs="Times New Roman"/>
          <w:shd w:val="clear" w:color="auto" w:fill="FFFFFF"/>
          <w:lang w:val="hu-HU"/>
        </w:rPr>
        <w:t xml:space="preserve"> </w:t>
      </w:r>
      <w:r w:rsidRPr="00A474F9">
        <w:rPr>
          <w:rFonts w:ascii="Times New Roman" w:hAnsi="Times New Roman" w:cs="Times New Roman"/>
          <w:lang w:val="hu-HU"/>
        </w:rPr>
        <w:t>számú programok kiválasztásáról szóló rendelettel Zenta község polgármestere kiválasztotta azokat a programokat, amelyek Zenta község költségvetéséből kerülnek finanszírozásra, valamint döntött a jóváhagyott programokhoz rendelt eszközök összegéről.</w:t>
      </w:r>
    </w:p>
    <w:p w:rsidR="00750D46" w:rsidRPr="00A474F9" w:rsidRDefault="00750D46" w:rsidP="00750D46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750D46" w:rsidRPr="00A474F9" w:rsidRDefault="00750D46" w:rsidP="00750D46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A474F9">
        <w:rPr>
          <w:rFonts w:ascii="Times New Roman" w:hAnsi="Times New Roman" w:cs="Times New Roman"/>
          <w:lang w:val="hu-HU"/>
        </w:rPr>
        <w:t>A fentiek alapján rendelkező rész szerinti végzés született.</w:t>
      </w:r>
    </w:p>
    <w:p w:rsidR="00950F0E" w:rsidRPr="005E592E" w:rsidRDefault="00950F0E" w:rsidP="00950F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50F0E" w:rsidRPr="005E592E" w:rsidRDefault="00950F0E" w:rsidP="00950F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57AC7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JOGORVOSLATI UTASÍTÁS</w:t>
      </w:r>
      <w:r w:rsidRPr="005E592E">
        <w:rPr>
          <w:rFonts w:asciiTheme="majorBidi" w:hAnsiTheme="majorBidi" w:cstheme="majorBidi"/>
          <w:sz w:val="24"/>
          <w:szCs w:val="24"/>
          <w:lang w:val="hu-HU"/>
        </w:rPr>
        <w:t xml:space="preserve">: Jelen végzés végleges a közigazgatási eljárásban. Jelen végzés ellen közigazgatási per indítható a Belgrádi Közigazgatási Bíróságon, a </w:t>
      </w:r>
      <w:proofErr w:type="spellStart"/>
      <w:r w:rsidRPr="005E592E">
        <w:rPr>
          <w:rFonts w:asciiTheme="majorBidi" w:hAnsiTheme="majorBidi" w:cstheme="majorBidi"/>
          <w:sz w:val="24"/>
          <w:szCs w:val="24"/>
          <w:lang w:val="hu-HU"/>
        </w:rPr>
        <w:t>Nemanjina</w:t>
      </w:r>
      <w:proofErr w:type="spellEnd"/>
      <w:r w:rsidRPr="005E592E">
        <w:rPr>
          <w:rFonts w:asciiTheme="majorBidi" w:hAnsiTheme="majorBidi" w:cstheme="majorBidi"/>
          <w:sz w:val="24"/>
          <w:szCs w:val="24"/>
          <w:lang w:val="hu-HU"/>
        </w:rPr>
        <w:t xml:space="preserve"> utca 9-es szám alatt. A keresetet közvetlenül vagy postai úton lehet benyújtani a Belgrádi Közigazgatási Bíróságnak jelen </w:t>
      </w:r>
      <w:r>
        <w:rPr>
          <w:rFonts w:asciiTheme="majorBidi" w:hAnsiTheme="majorBidi" w:cstheme="majorBidi"/>
          <w:sz w:val="24"/>
          <w:szCs w:val="24"/>
          <w:lang w:val="hu-HU"/>
        </w:rPr>
        <w:t>végzés</w:t>
      </w:r>
      <w:r w:rsidRPr="005E592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kézbesítésétől</w:t>
      </w:r>
      <w:r w:rsidRPr="005E592E">
        <w:rPr>
          <w:rFonts w:asciiTheme="majorBidi" w:hAnsiTheme="majorBidi" w:cstheme="majorBidi"/>
          <w:sz w:val="24"/>
          <w:szCs w:val="24"/>
          <w:lang w:val="hu-HU"/>
        </w:rPr>
        <w:t xml:space="preserve"> számított 30 napon belül.</w:t>
      </w:r>
    </w:p>
    <w:p w:rsidR="00750D46" w:rsidRDefault="00750D46" w:rsidP="00750D46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750D46" w:rsidRDefault="00750D46" w:rsidP="00750D46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750D46" w:rsidRPr="00A474F9" w:rsidRDefault="00750D46" w:rsidP="00750D46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750D46" w:rsidRPr="00A474F9" w:rsidRDefault="00750D46" w:rsidP="00750D46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A474F9">
        <w:rPr>
          <w:rFonts w:ascii="Times New Roman" w:hAnsi="Times New Roman" w:cs="Times New Roman"/>
          <w:lang w:val="hu-H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 w:rsidRPr="00A474F9">
        <w:rPr>
          <w:rFonts w:ascii="Times New Roman" w:hAnsi="Times New Roman" w:cs="Times New Roman"/>
          <w:lang w:val="hu-HU"/>
        </w:rPr>
        <w:t>Zenta község polgármestere</w:t>
      </w:r>
    </w:p>
    <w:p w:rsidR="00750D46" w:rsidRPr="00A474F9" w:rsidRDefault="00750D46" w:rsidP="00750D46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A474F9">
        <w:rPr>
          <w:rFonts w:ascii="Times New Roman" w:hAnsi="Times New Roman" w:cs="Times New Roman"/>
          <w:lang w:val="hu-H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  <w:t xml:space="preserve">      </w:t>
      </w:r>
      <w:r w:rsidRPr="00A474F9">
        <w:rPr>
          <w:rFonts w:ascii="Times New Roman" w:hAnsi="Times New Roman" w:cs="Times New Roman"/>
          <w:lang w:val="hu-HU"/>
        </w:rPr>
        <w:t xml:space="preserve">Burány Hajnalka s.k. </w:t>
      </w:r>
    </w:p>
    <w:p w:rsidR="00750D46" w:rsidRPr="00A474F9" w:rsidRDefault="00750D46" w:rsidP="00750D46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750D46" w:rsidRPr="00883E1F" w:rsidRDefault="00750D46">
      <w:pPr>
        <w:rPr>
          <w:lang w:val="hu-HU"/>
        </w:rPr>
      </w:pPr>
    </w:p>
    <w:sectPr w:rsidR="00750D46" w:rsidRPr="00883E1F" w:rsidSect="00382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83E1F"/>
    <w:rsid w:val="000D5C88"/>
    <w:rsid w:val="00141797"/>
    <w:rsid w:val="00381B3C"/>
    <w:rsid w:val="00382721"/>
    <w:rsid w:val="003E03AB"/>
    <w:rsid w:val="00750D46"/>
    <w:rsid w:val="00786A47"/>
    <w:rsid w:val="00883E1F"/>
    <w:rsid w:val="009003BC"/>
    <w:rsid w:val="00950F0E"/>
    <w:rsid w:val="00A53DC9"/>
    <w:rsid w:val="00A620C2"/>
    <w:rsid w:val="00CA49A9"/>
    <w:rsid w:val="00E115D6"/>
    <w:rsid w:val="00F8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1F"/>
    <w:pPr>
      <w:spacing w:after="160" w:line="278" w:lineRule="auto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E1F"/>
    <w:rPr>
      <w:rFonts w:ascii="Tahoma" w:hAnsi="Tahoma" w:cs="Tahoma"/>
      <w:kern w:val="2"/>
      <w:sz w:val="16"/>
      <w:szCs w:val="16"/>
      <w:lang w:val="en-US"/>
    </w:rPr>
  </w:style>
  <w:style w:type="paragraph" w:styleId="NoSpacing">
    <w:name w:val="No Spacing"/>
    <w:uiPriority w:val="1"/>
    <w:qFormat/>
    <w:rsid w:val="00950F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1250</Words>
  <Characters>7128</Characters>
  <Application>Microsoft Office Word</Application>
  <DocSecurity>0</DocSecurity>
  <Lines>59</Lines>
  <Paragraphs>16</Paragraphs>
  <ScaleCrop>false</ScaleCrop>
  <Company>Grizli777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17</cp:revision>
  <dcterms:created xsi:type="dcterms:W3CDTF">2025-03-17T10:34:00Z</dcterms:created>
  <dcterms:modified xsi:type="dcterms:W3CDTF">2025-03-17T10:51:00Z</dcterms:modified>
</cp:coreProperties>
</file>