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FD" w:rsidRPr="00434C75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44033D" w:rsidRPr="00E84C98" w:rsidRDefault="0044033D" w:rsidP="0044033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E84C98">
        <w:rPr>
          <w:rFonts w:ascii="Times New Roman" w:hAnsi="Times New Roman" w:cs="Times New Roman"/>
          <w:shd w:val="clear" w:color="auto" w:fill="FFFFFF"/>
        </w:rPr>
        <w:t xml:space="preserve">004433695 2025 08858 002 000 </w:t>
      </w:r>
      <w:proofErr w:type="spellStart"/>
      <w:r w:rsidRPr="00E84C98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E84C98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44033D" w:rsidRPr="006F6F8A" w:rsidRDefault="0044033D" w:rsidP="0044033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6F6F8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26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 xml:space="preserve">новембра </w:t>
      </w:r>
      <w:r w:rsidRPr="006F6F8A">
        <w:rPr>
          <w:rFonts w:ascii="Times New Roman" w:hAnsi="Times New Roman" w:cs="Times New Roman"/>
          <w:lang w:val="sr-Cyrl-CS"/>
        </w:rPr>
        <w:t>202</w:t>
      </w:r>
      <w:r>
        <w:rPr>
          <w:rFonts w:ascii="Times New Roman" w:hAnsi="Times New Roman" w:cs="Times New Roman"/>
          <w:lang w:val="sr-Cyrl-CS"/>
        </w:rPr>
        <w:t>5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44033D" w:rsidRPr="006F6F8A" w:rsidRDefault="0044033D" w:rsidP="0044033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С е н т а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</w:p>
    <w:p w:rsidR="00F270B3" w:rsidRPr="00F270B3" w:rsidRDefault="00F270B3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70075D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0075D">
        <w:rPr>
          <w:rFonts w:ascii="Times New Roman" w:hAnsi="Times New Roman" w:cs="Times New Roman"/>
          <w:color w:val="000000"/>
          <w:lang w:val="sr-Cyrl-CS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16/2018), члана 1</w:t>
      </w:r>
      <w:r w:rsidR="00857EBD">
        <w:rPr>
          <w:rFonts w:ascii="Times New Roman" w:hAnsi="Times New Roman" w:cs="Times New Roman"/>
          <w:color w:val="000000"/>
        </w:rPr>
        <w:t>8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B64D6B" w:rsidRPr="0070075D">
        <w:rPr>
          <w:rFonts w:ascii="Times New Roman" w:hAnsi="Times New Roman" w:cs="Times New Roman"/>
          <w:lang w:val="sr-Cyrl-CS"/>
        </w:rPr>
        <w:t>(„Службени лист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општине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Сента”,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број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 xml:space="preserve">31/2021), 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и на основу предлога 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C3016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>П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редседник општине доноси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C3016" w:rsidRPr="0070075D" w:rsidRDefault="000C3016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0C3016" w:rsidRPr="00206085" w:rsidRDefault="005869AA" w:rsidP="000C301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ЈАВНОМ КОНКУРСУ </w:t>
      </w:r>
      <w:r w:rsidR="000C3016" w:rsidRPr="00206085">
        <w:rPr>
          <w:rFonts w:ascii="Times New Roman" w:hAnsi="Times New Roman" w:cs="Times New Roman"/>
          <w:b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</w:p>
    <w:p w:rsidR="000C3016" w:rsidRDefault="000C3016" w:rsidP="000C301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206085">
        <w:rPr>
          <w:rFonts w:ascii="Times New Roman" w:hAnsi="Times New Roman" w:cs="Times New Roman"/>
          <w:b/>
          <w:color w:val="000000"/>
          <w:lang w:val="sr-Cyrl-CS"/>
        </w:rPr>
        <w:t>ПРОТИВПОЖАРНЕ ЗАШТИТЕ</w:t>
      </w:r>
    </w:p>
    <w:p w:rsidR="005869AA" w:rsidRPr="000C3016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A3DC1" w:rsidRDefault="007A3DC1" w:rsidP="000E2DFD">
      <w:pPr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7A3DC1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44033D">
        <w:rPr>
          <w:rFonts w:ascii="Times New Roman" w:hAnsi="Times New Roman" w:cs="Times New Roman"/>
          <w:lang w:val="hu-HU"/>
        </w:rPr>
        <w:t>5</w:t>
      </w:r>
      <w:r w:rsidR="000E2DFD" w:rsidRPr="006F6F8A">
        <w:rPr>
          <w:rFonts w:ascii="Times New Roman" w:hAnsi="Times New Roman" w:cs="Times New Roman"/>
          <w:lang w:val="sr-Cyrl-CS"/>
        </w:rPr>
        <w:t xml:space="preserve">. </w:t>
      </w:r>
      <w:r w:rsidR="0044033D">
        <w:rPr>
          <w:rFonts w:ascii="Times New Roman" w:hAnsi="Times New Roman" w:cs="Times New Roman"/>
          <w:lang w:val="sr-Cyrl-CS"/>
        </w:rPr>
        <w:t>новембра</w:t>
      </w:r>
      <w:r w:rsidR="000E2DFD" w:rsidRPr="006F6F8A">
        <w:rPr>
          <w:rFonts w:ascii="Times New Roman" w:hAnsi="Times New Roman" w:cs="Times New Roman"/>
          <w:lang w:val="sr-Cyrl-CS"/>
        </w:rPr>
        <w:t xml:space="preserve"> 202</w:t>
      </w:r>
      <w:r w:rsidR="000E2DFD">
        <w:rPr>
          <w:rFonts w:ascii="Times New Roman" w:hAnsi="Times New Roman" w:cs="Times New Roman"/>
          <w:lang w:val="sr-Cyrl-CS"/>
        </w:rPr>
        <w:t>5</w:t>
      </w:r>
      <w:r w:rsidR="000E2DFD" w:rsidRPr="006F6F8A">
        <w:rPr>
          <w:rFonts w:ascii="Times New Roman" w:hAnsi="Times New Roman" w:cs="Times New Roman"/>
          <w:lang w:val="sr-Cyrl-CS"/>
        </w:rPr>
        <w:t>. године</w:t>
      </w:r>
      <w:r w:rsidR="000E2DFD">
        <w:rPr>
          <w:rFonts w:ascii="Times New Roman" w:hAnsi="Times New Roman" w:cs="Times New Roman"/>
          <w:lang w:val="hu-HU"/>
        </w:rPr>
        <w:t xml:space="preserve">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44033D" w:rsidRPr="00E84C98">
        <w:rPr>
          <w:rFonts w:ascii="Times New Roman" w:hAnsi="Times New Roman" w:cs="Times New Roman"/>
          <w:shd w:val="clear" w:color="auto" w:fill="FFFFFF"/>
        </w:rPr>
        <w:t xml:space="preserve">004433695 2025 08858 002 000 </w:t>
      </w:r>
      <w:proofErr w:type="spellStart"/>
      <w:r w:rsidR="0044033D" w:rsidRPr="00E84C98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44033D" w:rsidRPr="00E84C98">
        <w:rPr>
          <w:rFonts w:ascii="Times New Roman" w:hAnsi="Times New Roman" w:cs="Times New Roman"/>
          <w:shd w:val="clear" w:color="auto" w:fill="FFFFFF"/>
        </w:rPr>
        <w:t xml:space="preserve"> 001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>.</w:t>
      </w:r>
    </w:p>
    <w:p w:rsidR="00B64D6B" w:rsidRPr="0070075D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64D6B" w:rsidRPr="000E2DFD" w:rsidRDefault="007A3DC1" w:rsidP="000C3016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44033D">
        <w:rPr>
          <w:rFonts w:ascii="Times New Roman" w:hAnsi="Times New Roman"/>
          <w:b/>
        </w:rPr>
        <w:t>400</w:t>
      </w:r>
      <w:r w:rsidR="000C3016" w:rsidRPr="006C7F1C">
        <w:rPr>
          <w:rFonts w:ascii="Times New Roman" w:hAnsi="Times New Roman"/>
          <w:b/>
          <w:lang w:val="sr-Cyrl-BA"/>
        </w:rPr>
        <w:t xml:space="preserve">.000,00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динара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0E2DFD" w:rsidRPr="004A246A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0E2DFD"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E2DFD" w:rsidRPr="004A246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0E2DFD">
        <w:rPr>
          <w:rFonts w:ascii="Times New Roman" w:hAnsi="Times New Roman" w:cs="Times New Roman"/>
          <w:color w:val="000000"/>
          <w:lang w:val="sr-Cyrl-CS"/>
        </w:rPr>
        <w:t>5</w:t>
      </w:r>
      <w:r w:rsidR="000E2DFD"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0E2DFD" w:rsidRPr="004A246A">
        <w:rPr>
          <w:rFonts w:ascii="Times New Roman" w:hAnsi="Times New Roman" w:cs="Times New Roman"/>
          <w:lang w:val="sr-Cyrl-CS"/>
        </w:rPr>
        <w:t>(„Службени</w:t>
      </w:r>
      <w:r w:rsidR="000E2DFD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E2DFD" w:rsidRPr="004A246A">
        <w:rPr>
          <w:rFonts w:ascii="Times New Roman" w:hAnsi="Times New Roman" w:cs="Times New Roman"/>
          <w:lang w:val="sr-Cyrl-CS"/>
        </w:rPr>
        <w:t>лист</w:t>
      </w:r>
      <w:r w:rsidR="000E2DFD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E2DFD" w:rsidRPr="004A246A">
        <w:rPr>
          <w:rFonts w:ascii="Times New Roman" w:hAnsi="Times New Roman" w:cs="Times New Roman"/>
          <w:lang w:val="sr-Cyrl-CS"/>
        </w:rPr>
        <w:t>општине</w:t>
      </w:r>
      <w:r w:rsidR="000E2DFD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0E2DFD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0E2DFD" w:rsidRPr="004A246A">
        <w:rPr>
          <w:rFonts w:ascii="Times New Roman" w:hAnsi="Times New Roman" w:cs="Times New Roman"/>
          <w:lang w:val="sr-Cyrl-CS"/>
        </w:rPr>
        <w:t>”,</w:t>
      </w:r>
      <w:r w:rsidR="000E2DFD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E2DFD" w:rsidRPr="004A246A">
        <w:rPr>
          <w:rFonts w:ascii="Times New Roman" w:hAnsi="Times New Roman" w:cs="Times New Roman"/>
          <w:lang w:val="sr-Cyrl-CS"/>
        </w:rPr>
        <w:t>број</w:t>
      </w:r>
      <w:r w:rsidR="000E2DFD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8A5257" w:rsidRPr="00A62AB9">
        <w:rPr>
          <w:rFonts w:ascii="Times New Roman" w:hAnsi="Times New Roman" w:cs="Times New Roman"/>
          <w:spacing w:val="32"/>
        </w:rPr>
        <w:t>1</w:t>
      </w:r>
      <w:r w:rsidR="008A5257">
        <w:rPr>
          <w:rFonts w:ascii="Times New Roman" w:hAnsi="Times New Roman" w:cs="Times New Roman"/>
          <w:spacing w:val="32"/>
        </w:rPr>
        <w:t>3</w:t>
      </w:r>
      <w:r w:rsidR="008A5257" w:rsidRPr="00A62AB9">
        <w:rPr>
          <w:rFonts w:ascii="Times New Roman" w:hAnsi="Times New Roman" w:cs="Times New Roman"/>
          <w:lang w:val="sr-Cyrl-CS"/>
        </w:rPr>
        <w:t>/202</w:t>
      </w:r>
      <w:r w:rsidR="008A5257">
        <w:rPr>
          <w:rFonts w:ascii="Times New Roman" w:hAnsi="Times New Roman" w:cs="Times New Roman"/>
          <w:lang w:val="sr-Cyrl-CS"/>
        </w:rPr>
        <w:t>4</w:t>
      </w:r>
      <w:r w:rsidR="008A5257">
        <w:rPr>
          <w:rFonts w:ascii="Times New Roman" w:hAnsi="Times New Roman" w:cs="Times New Roman"/>
        </w:rPr>
        <w:t xml:space="preserve">, 4/2025 </w:t>
      </w:r>
      <w:r w:rsidR="008A5257" w:rsidRPr="00E84C98">
        <w:rPr>
          <w:rFonts w:ascii="Times New Roman" w:hAnsi="Times New Roman" w:cs="Times New Roman"/>
        </w:rPr>
        <w:t>и 11/2025</w:t>
      </w:r>
      <w:r w:rsidR="008A5257" w:rsidRPr="00E84C98">
        <w:rPr>
          <w:rFonts w:ascii="Times New Roman" w:hAnsi="Times New Roman" w:cs="Times New Roman"/>
          <w:lang w:val="sr-Cyrl-CS"/>
        </w:rPr>
        <w:t>)</w:t>
      </w:r>
      <w:r w:rsidR="008A5257">
        <w:rPr>
          <w:rFonts w:ascii="Times New Roman" w:hAnsi="Times New Roman" w:cs="Times New Roman"/>
        </w:rPr>
        <w:t>,</w:t>
      </w:r>
      <w:r w:rsidR="008A5257" w:rsidRPr="00E84C98">
        <w:rPr>
          <w:rFonts w:ascii="Times New Roman" w:hAnsi="Times New Roman" w:cs="Times New Roman"/>
          <w:lang w:val="sr-Cyrl-CS"/>
        </w:rPr>
        <w:t xml:space="preserve"> </w:t>
      </w:r>
      <w:r w:rsidR="008A5257" w:rsidRPr="000B2504">
        <w:rPr>
          <w:rFonts w:ascii="Times New Roman" w:eastAsia="Calibri" w:hAnsi="Times New Roman" w:cs="Times New Roman"/>
          <w:lang w:val="sr-Cyrl-CS"/>
        </w:rPr>
        <w:t xml:space="preserve"> </w:t>
      </w:r>
      <w:r w:rsidR="000E2DFD" w:rsidRPr="004A246A">
        <w:rPr>
          <w:rFonts w:ascii="Times New Roman" w:eastAsia="Calibri" w:hAnsi="Times New Roman" w:cs="Times New Roman"/>
          <w:lang w:val="sr-Cyrl-CS"/>
        </w:rPr>
        <w:t xml:space="preserve">у оквиру раздела број 5 под називом „ОПШТИНСКА УПРАВА“, </w:t>
      </w:r>
      <w:r w:rsidR="000E2DFD" w:rsidRPr="000B2504">
        <w:rPr>
          <w:rFonts w:ascii="Times New Roman" w:eastAsia="Calibri" w:hAnsi="Times New Roman" w:cs="Times New Roman"/>
          <w:lang w:val="sr-Cyrl-CS"/>
        </w:rPr>
        <w:t>у оквиру</w:t>
      </w:r>
      <w:r w:rsidR="008A5257">
        <w:rPr>
          <w:rFonts w:ascii="Times New Roman" w:eastAsia="Calibri" w:hAnsi="Times New Roman" w:cs="Times New Roman"/>
          <w:lang/>
        </w:rPr>
        <w:t xml:space="preserve">  </w:t>
      </w:r>
      <w:r w:rsidR="0044033D" w:rsidRPr="000B2504">
        <w:rPr>
          <w:rFonts w:ascii="Times New Roman" w:eastAsia="Calibri" w:hAnsi="Times New Roman" w:cs="Times New Roman"/>
          <w:lang w:val="sr-Cyrl-CS"/>
        </w:rPr>
        <w:t xml:space="preserve">програма </w:t>
      </w:r>
      <w:proofErr w:type="spellStart"/>
      <w:r w:rsidR="000E2DFD" w:rsidRPr="000B2504">
        <w:rPr>
          <w:rFonts w:ascii="Times New Roman" w:eastAsia="Calibri" w:hAnsi="Times New Roman" w:cs="Times New Roman"/>
          <w:lang w:val="sr-Cyrl-CS"/>
        </w:rPr>
        <w:t>програма</w:t>
      </w:r>
      <w:proofErr w:type="spellEnd"/>
      <w:r w:rsidR="000E2DFD" w:rsidRPr="000B2504">
        <w:rPr>
          <w:rFonts w:ascii="Times New Roman" w:eastAsia="Calibri" w:hAnsi="Times New Roman" w:cs="Times New Roman"/>
          <w:lang w:val="sr-Cyrl-CS"/>
        </w:rPr>
        <w:t xml:space="preserve"> број 0602 под називом „</w:t>
      </w:r>
      <w:r w:rsidR="000E2DFD" w:rsidRPr="000B2504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0E2DFD" w:rsidRPr="000B2504">
        <w:rPr>
          <w:rFonts w:ascii="Times New Roman" w:eastAsia="Calibri" w:hAnsi="Times New Roman" w:cs="Times New Roman"/>
          <w:lang w:val="sr-Cyrl-CS"/>
        </w:rPr>
        <w:t>“,  као активност под бројем 0014 и под називом „</w:t>
      </w:r>
      <w:r w:rsidR="000E2DFD" w:rsidRPr="000B2504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0E2DFD" w:rsidRPr="000B2504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0E2DFD" w:rsidRPr="000B2504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0E2DFD" w:rsidRPr="000B2504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0E2DFD" w:rsidRPr="000B2504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0E2DFD" w:rsidRPr="000B2504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0E2DFD" w:rsidRPr="000B2504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0E2DFD" w:rsidRPr="000B2504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0E2DFD" w:rsidRPr="000B2504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0E2DFD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0E2DFD" w:rsidRPr="000B2504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0E2DFD" w:rsidRPr="000B2504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0E2DFD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0E2DFD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0E2DFD" w:rsidRPr="000B2504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0E2DFD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0E2DFD" w:rsidRPr="000B2504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0E2DFD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0E2DFD" w:rsidRPr="000B2504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0E2DFD" w:rsidRPr="000B2504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0E2DFD" w:rsidRPr="000B2504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0E2DFD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0E2DFD" w:rsidRPr="000B2504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0E2DFD" w:rsidRPr="000B2504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0E2DFD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0E2DFD" w:rsidRPr="000B2504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0E2DFD" w:rsidRPr="000B2504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0E2DFD" w:rsidRPr="000B2504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0E2DFD" w:rsidRPr="000B2504">
        <w:rPr>
          <w:rFonts w:ascii="Times New Roman" w:eastAsia="Calibri" w:hAnsi="Times New Roman" w:cs="Times New Roman"/>
          <w:lang w:val="sr-Cyrl-CS"/>
        </w:rPr>
        <w:t xml:space="preserve">“, </w:t>
      </w:r>
      <w:r w:rsidR="000E2DFD" w:rsidRPr="000B2504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0E2DFD">
        <w:rPr>
          <w:rFonts w:ascii="Times New Roman" w:eastAsia="Calibri" w:hAnsi="Times New Roman" w:cs="Times New Roman"/>
          <w:b/>
          <w:lang w:val="sr-Cyrl-CS"/>
        </w:rPr>
        <w:t>72</w:t>
      </w:r>
      <w:r w:rsidR="000E2DFD" w:rsidRPr="000B2504">
        <w:rPr>
          <w:rFonts w:ascii="Times New Roman" w:eastAsia="Calibri" w:hAnsi="Times New Roman" w:cs="Times New Roman"/>
          <w:b/>
          <w:lang w:val="sr-Cyrl-CS"/>
        </w:rPr>
        <w:t>/0</w:t>
      </w:r>
      <w:r w:rsidR="000E2DFD" w:rsidRPr="000B2504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0E2DFD">
        <w:rPr>
          <w:rFonts w:ascii="Times New Roman" w:eastAsia="Calibri" w:hAnsi="Times New Roman" w:cs="Times New Roman"/>
          <w:lang w:val="hu-HU"/>
        </w:rPr>
        <w:t>.</w:t>
      </w:r>
    </w:p>
    <w:p w:rsidR="00D027FA" w:rsidRPr="00D027FA" w:rsidRDefault="00D027FA" w:rsidP="000C3016">
      <w:pPr>
        <w:jc w:val="both"/>
        <w:rPr>
          <w:rFonts w:ascii="Times New Roman" w:hAnsi="Times New Roman" w:cs="Times New Roman"/>
          <w:color w:val="000000"/>
        </w:rPr>
      </w:pPr>
    </w:p>
    <w:p w:rsidR="005869AA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D562C3">
        <w:rPr>
          <w:rFonts w:ascii="Times New Roman" w:hAnsi="Times New Roman" w:cs="Times New Roman"/>
          <w:color w:val="000000"/>
          <w:lang w:val="sr-Cyrl-CS"/>
        </w:rPr>
        <w:t>202</w:t>
      </w:r>
      <w:r w:rsidR="000E2DFD">
        <w:rPr>
          <w:rFonts w:ascii="Times New Roman" w:hAnsi="Times New Roman" w:cs="Times New Roman"/>
          <w:color w:val="000000"/>
          <w:lang w:val="hu-HU"/>
        </w:rPr>
        <w:t>5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44033D">
        <w:rPr>
          <w:rFonts w:ascii="Times New Roman" w:hAnsi="Times New Roman"/>
          <w:b/>
        </w:rPr>
        <w:t>400</w:t>
      </w:r>
      <w:r w:rsidR="000C3016" w:rsidRPr="006C7F1C">
        <w:rPr>
          <w:rFonts w:ascii="Times New Roman" w:hAnsi="Times New Roman"/>
          <w:b/>
          <w:lang w:val="sr-Cyrl-BA"/>
        </w:rPr>
        <w:t>.000,00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додељују се за (су)финансирање програма у области </w:t>
      </w:r>
      <w:r w:rsidR="000C3016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5869AA" w:rsidRPr="0070075D">
        <w:rPr>
          <w:rFonts w:ascii="Times New Roman" w:hAnsi="Times New Roman" w:cs="Times New Roman"/>
          <w:color w:val="000000"/>
          <w:lang w:val="sr-Cyrl-CS"/>
        </w:rPr>
        <w:t>следећ</w:t>
      </w:r>
      <w:r w:rsidR="00090ABD">
        <w:rPr>
          <w:rFonts w:ascii="Times New Roman" w:hAnsi="Times New Roman" w:cs="Times New Roman"/>
          <w:color w:val="000000"/>
        </w:rPr>
        <w:t>ем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5869AA" w:rsidRPr="0070075D">
        <w:rPr>
          <w:rFonts w:ascii="Times New Roman" w:hAnsi="Times New Roman" w:cs="Times New Roman"/>
          <w:color w:val="000000"/>
          <w:lang w:val="sr-Cyrl-CS"/>
        </w:rPr>
        <w:t>удружењ</w:t>
      </w:r>
      <w:proofErr w:type="spellEnd"/>
      <w:r w:rsidR="00090ABD">
        <w:rPr>
          <w:rFonts w:ascii="Times New Roman" w:hAnsi="Times New Roman" w:cs="Times New Roman"/>
          <w:color w:val="000000"/>
        </w:rPr>
        <w:t>у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:</w:t>
      </w:r>
    </w:p>
    <w:p w:rsidR="000C3016" w:rsidRDefault="000C301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C3016" w:rsidRPr="0070075D" w:rsidRDefault="000C301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618"/>
        <w:gridCol w:w="1689"/>
        <w:gridCol w:w="1803"/>
        <w:gridCol w:w="1820"/>
        <w:gridCol w:w="1266"/>
      </w:tblGrid>
      <w:tr w:rsidR="00006E6A" w:rsidRPr="00206085" w:rsidTr="00A32934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6E6A" w:rsidRPr="00206085" w:rsidRDefault="00006E6A" w:rsidP="00420D8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6E6A" w:rsidRPr="00206085" w:rsidRDefault="00006E6A" w:rsidP="00420D8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Датум</w:t>
            </w:r>
            <w:proofErr w:type="spellEnd"/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 </w:t>
            </w:r>
            <w:proofErr w:type="spellStart"/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подно</w:t>
            </w:r>
            <w:proofErr w:type="spellEnd"/>
            <w:r w:rsidRPr="00206085"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proofErr w:type="spellStart"/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ења</w:t>
            </w:r>
            <w:proofErr w:type="spellEnd"/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 </w:t>
            </w:r>
            <w:proofErr w:type="spellStart"/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пријаве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6E6A" w:rsidRPr="00206085" w:rsidRDefault="00006E6A" w:rsidP="00420D8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6E6A" w:rsidRPr="00FE49B5" w:rsidRDefault="00006E6A" w:rsidP="005439F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6E6A" w:rsidRPr="00FE49B5" w:rsidRDefault="00006E6A" w:rsidP="005439F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Одобрена средства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6E6A" w:rsidRPr="00206085" w:rsidRDefault="00006E6A" w:rsidP="00420D8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0608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44033D" w:rsidRPr="00206085" w:rsidTr="00521BF6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033D" w:rsidRPr="00206085" w:rsidRDefault="0044033D" w:rsidP="005D2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033D" w:rsidRPr="00EF76D2" w:rsidRDefault="0044033D" w:rsidP="005D2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EF76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EF76D2">
              <w:rPr>
                <w:rFonts w:ascii="Times New Roman" w:hAnsi="Times New Roman" w:cs="Times New Roman"/>
                <w:color w:val="000000"/>
              </w:rPr>
              <w:t>.2025</w:t>
            </w:r>
            <w:r w:rsidRPr="00EF76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033D" w:rsidRPr="00206085" w:rsidRDefault="0044033D" w:rsidP="005D2405">
            <w:pPr>
              <w:rPr>
                <w:rFonts w:ascii="Times New Roman" w:hAnsi="Times New Roman" w:cs="Times New Roman"/>
                <w:color w:val="000000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44033D" w:rsidRPr="00206085" w:rsidRDefault="0044033D" w:rsidP="005D2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033D" w:rsidRPr="00206085" w:rsidRDefault="0044033D" w:rsidP="005D2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>Развој и унапређење противпожарне заштите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033D" w:rsidRPr="00861D0D" w:rsidRDefault="0044033D" w:rsidP="005D240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400.000,00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033D" w:rsidRPr="00206085" w:rsidRDefault="0044033D" w:rsidP="005D2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>о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, на огласној табли општине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и на порталу е-Управа, у року од пет дана од дана доношења.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32934" w:rsidRDefault="00A32934" w:rsidP="00A60083">
      <w:pPr>
        <w:jc w:val="both"/>
        <w:rPr>
          <w:rFonts w:ascii="Times New Roman" w:hAnsi="Times New Roman" w:cs="Times New Roman"/>
          <w:lang w:val="hu-HU"/>
        </w:rPr>
      </w:pPr>
    </w:p>
    <w:p w:rsidR="00A32934" w:rsidRDefault="00A32934" w:rsidP="00A60083">
      <w:pPr>
        <w:jc w:val="both"/>
        <w:rPr>
          <w:rFonts w:ascii="Times New Roman" w:hAnsi="Times New Roman" w:cs="Times New Roman"/>
          <w:lang w:val="hu-HU"/>
        </w:rPr>
      </w:pPr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0075D">
        <w:rPr>
          <w:rFonts w:ascii="Times New Roman" w:hAnsi="Times New Roman" w:cs="Times New Roman"/>
          <w:lang w:val="sr-Cyrl-CS"/>
        </w:rPr>
        <w:t>Председни</w:t>
      </w:r>
      <w:proofErr w:type="spellEnd"/>
      <w:r w:rsidR="00090ABD">
        <w:rPr>
          <w:rFonts w:ascii="Times New Roman" w:hAnsi="Times New Roman" w:cs="Times New Roman"/>
        </w:rPr>
        <w:t>ca</w:t>
      </w:r>
      <w:r w:rsidRPr="0070075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0075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090ABD" w:rsidRDefault="00A60083" w:rsidP="00A60083">
      <w:pPr>
        <w:jc w:val="both"/>
        <w:rPr>
          <w:rFonts w:ascii="Times New Roman" w:hAnsi="Times New Roman" w:cs="Times New Roman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0C3016">
        <w:rPr>
          <w:rFonts w:ascii="Times New Roman" w:hAnsi="Times New Roman" w:cs="Times New Roman"/>
          <w:lang w:val="sr-Cyrl-CS"/>
        </w:rPr>
        <w:t xml:space="preserve">        </w:t>
      </w:r>
      <w:proofErr w:type="spellStart"/>
      <w:r w:rsidR="00D45A6A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D45A6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45A6A">
        <w:rPr>
          <w:rFonts w:ascii="Times New Roman" w:hAnsi="Times New Roman" w:cs="Times New Roman"/>
          <w:lang w:val="sr-Cyrl-CS"/>
        </w:rPr>
        <w:t>Бурањ</w:t>
      </w:r>
      <w:proofErr w:type="spellEnd"/>
    </w:p>
    <w:p w:rsidR="005869AA" w:rsidRPr="0070075D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D562C3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sectPr w:rsidR="005869AA" w:rsidRPr="00D562C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FE5" w:rsidRDefault="00502FE5" w:rsidP="009F428A">
      <w:r>
        <w:separator/>
      </w:r>
    </w:p>
  </w:endnote>
  <w:endnote w:type="continuationSeparator" w:id="0">
    <w:p w:rsidR="00502FE5" w:rsidRDefault="00502FE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FE5" w:rsidRDefault="00502FE5" w:rsidP="009F428A">
      <w:r>
        <w:separator/>
      </w:r>
    </w:p>
  </w:footnote>
  <w:footnote w:type="continuationSeparator" w:id="0">
    <w:p w:rsidR="00502FE5" w:rsidRDefault="00502FE5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6E6A"/>
    <w:rsid w:val="00034B9F"/>
    <w:rsid w:val="00086DC4"/>
    <w:rsid w:val="00090ABD"/>
    <w:rsid w:val="000C3016"/>
    <w:rsid w:val="000E2DFD"/>
    <w:rsid w:val="000E35EE"/>
    <w:rsid w:val="001202E1"/>
    <w:rsid w:val="00142A14"/>
    <w:rsid w:val="001565A4"/>
    <w:rsid w:val="001752D6"/>
    <w:rsid w:val="00185139"/>
    <w:rsid w:val="001D17A2"/>
    <w:rsid w:val="001E13F3"/>
    <w:rsid w:val="00214A94"/>
    <w:rsid w:val="002655ED"/>
    <w:rsid w:val="002A2BD5"/>
    <w:rsid w:val="002C0708"/>
    <w:rsid w:val="003206CF"/>
    <w:rsid w:val="0035433C"/>
    <w:rsid w:val="00370ACB"/>
    <w:rsid w:val="003A5F53"/>
    <w:rsid w:val="003A60E9"/>
    <w:rsid w:val="003C2F38"/>
    <w:rsid w:val="0044033D"/>
    <w:rsid w:val="0045764D"/>
    <w:rsid w:val="004C27EC"/>
    <w:rsid w:val="004E3AE0"/>
    <w:rsid w:val="004F37F5"/>
    <w:rsid w:val="00502FE5"/>
    <w:rsid w:val="0050722F"/>
    <w:rsid w:val="00577001"/>
    <w:rsid w:val="00584B35"/>
    <w:rsid w:val="005869AA"/>
    <w:rsid w:val="005A11A7"/>
    <w:rsid w:val="00607519"/>
    <w:rsid w:val="00645D0B"/>
    <w:rsid w:val="006B2E87"/>
    <w:rsid w:val="006F285A"/>
    <w:rsid w:val="006F43BF"/>
    <w:rsid w:val="0070075D"/>
    <w:rsid w:val="0074128C"/>
    <w:rsid w:val="00780404"/>
    <w:rsid w:val="007A3DC1"/>
    <w:rsid w:val="00850618"/>
    <w:rsid w:val="00857EBD"/>
    <w:rsid w:val="008A5257"/>
    <w:rsid w:val="008C2213"/>
    <w:rsid w:val="008D0AB4"/>
    <w:rsid w:val="008F0EA7"/>
    <w:rsid w:val="009154BC"/>
    <w:rsid w:val="00935E84"/>
    <w:rsid w:val="00941A69"/>
    <w:rsid w:val="0098566C"/>
    <w:rsid w:val="009A6C87"/>
    <w:rsid w:val="009F428A"/>
    <w:rsid w:val="00A014A1"/>
    <w:rsid w:val="00A32934"/>
    <w:rsid w:val="00A34F2D"/>
    <w:rsid w:val="00A57964"/>
    <w:rsid w:val="00A60083"/>
    <w:rsid w:val="00AF17E3"/>
    <w:rsid w:val="00B12314"/>
    <w:rsid w:val="00B24B27"/>
    <w:rsid w:val="00B32C8F"/>
    <w:rsid w:val="00B42510"/>
    <w:rsid w:val="00B570FA"/>
    <w:rsid w:val="00B64D6B"/>
    <w:rsid w:val="00B73A85"/>
    <w:rsid w:val="00BA36A5"/>
    <w:rsid w:val="00BA4691"/>
    <w:rsid w:val="00BD5A2D"/>
    <w:rsid w:val="00C20468"/>
    <w:rsid w:val="00C62E8B"/>
    <w:rsid w:val="00C66327"/>
    <w:rsid w:val="00C97082"/>
    <w:rsid w:val="00CE66F2"/>
    <w:rsid w:val="00D027FA"/>
    <w:rsid w:val="00D10FF5"/>
    <w:rsid w:val="00D11935"/>
    <w:rsid w:val="00D30EF5"/>
    <w:rsid w:val="00D4506F"/>
    <w:rsid w:val="00D45A6A"/>
    <w:rsid w:val="00D517BE"/>
    <w:rsid w:val="00D562C3"/>
    <w:rsid w:val="00D70E06"/>
    <w:rsid w:val="00D73D47"/>
    <w:rsid w:val="00D80C85"/>
    <w:rsid w:val="00D92B9C"/>
    <w:rsid w:val="00D939CD"/>
    <w:rsid w:val="00DF0B58"/>
    <w:rsid w:val="00E370BA"/>
    <w:rsid w:val="00E4258F"/>
    <w:rsid w:val="00E908A4"/>
    <w:rsid w:val="00EB76FC"/>
    <w:rsid w:val="00EE1261"/>
    <w:rsid w:val="00EF2457"/>
    <w:rsid w:val="00F23604"/>
    <w:rsid w:val="00F270B3"/>
    <w:rsid w:val="00F45B41"/>
    <w:rsid w:val="00FA2EA3"/>
    <w:rsid w:val="00FB02E9"/>
    <w:rsid w:val="00FE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7E591F-0A52-4D93-9256-B7804764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30</cp:revision>
  <cp:lastPrinted>2025-11-25T13:27:00Z</cp:lastPrinted>
  <dcterms:created xsi:type="dcterms:W3CDTF">2021-06-25T11:23:00Z</dcterms:created>
  <dcterms:modified xsi:type="dcterms:W3CDTF">2025-11-25T13:37:00Z</dcterms:modified>
</cp:coreProperties>
</file>